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3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7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3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89" w:lineRule="exact"/>
        <w:rPr>
          <w:sz w:val="24"/>
          <w:szCs w:val="24"/>
          <w:color w:val="auto"/>
        </w:rPr>
      </w:pPr>
    </w:p>
    <w:p>
      <w:pPr>
        <w:ind w:left="3380" w:right="2160" w:hanging="3354"/>
        <w:spacing w:after="0" w:line="435" w:lineRule="auto"/>
        <w:tabs>
          <w:tab w:leader="none" w:pos="396" w:val="left"/>
        </w:tabs>
        <w:numPr>
          <w:ilvl w:val="0"/>
          <w:numId w:val="2"/>
        </w:numPr>
        <w:rPr>
          <w:rFonts w:ascii="MS PGothic" w:cs="MS PGothic" w:eastAsia="MS PGothic" w:hAnsi="MS PGothic"/>
          <w:sz w:val="25"/>
          <w:szCs w:val="25"/>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__________ to ___________</w:t>
      </w:r>
    </w:p>
    <w:p>
      <w:pPr>
        <w:spacing w:after="0" w:line="16" w:lineRule="exact"/>
        <w:rPr>
          <w:rFonts w:ascii="MS PGothic" w:cs="MS PGothic" w:eastAsia="MS PGothic" w:hAnsi="MS PGothic"/>
          <w:sz w:val="25"/>
          <w:szCs w:val="25"/>
          <w:color w:val="auto"/>
        </w:rPr>
      </w:pPr>
    </w:p>
    <w:p>
      <w:pPr>
        <w:ind w:left="4260"/>
        <w:spacing w:after="0"/>
        <w:rPr>
          <w:rFonts w:ascii="MS PGothic" w:cs="MS PGothic" w:eastAsia="MS PGothic" w:hAnsi="MS PGothic"/>
          <w:sz w:val="25"/>
          <w:szCs w:val="25"/>
          <w:color w:val="auto"/>
        </w:rPr>
      </w:pPr>
      <w:r>
        <w:rPr>
          <w:rFonts w:ascii="Times New Roman" w:cs="Times New Roman" w:eastAsia="Times New Roman" w:hAnsi="Times New Roman"/>
          <w:sz w:val="18"/>
          <w:szCs w:val="18"/>
          <w:b w:val="1"/>
          <w:bCs w:val="1"/>
          <w:color w:val="auto"/>
        </w:rPr>
        <w:t>Commission file number 001-10960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19685</wp:posOffset>
            </wp:positionV>
            <wp:extent cx="2846070" cy="8229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8229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FIRSTCASH HOLDINGS, INC.</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14" w:lineRule="exact"/>
        <w:rPr>
          <w:sz w:val="24"/>
          <w:szCs w:val="24"/>
          <w:color w:val="auto"/>
        </w:rPr>
      </w:pPr>
    </w:p>
    <w:tbl>
      <w:tblPr>
        <w:tblLayout w:type="fixed"/>
        <w:tblInd w:w="1540" w:type="dxa"/>
        <w:tblCellMar>
          <w:top w:w="0" w:type="dxa"/>
          <w:left w:w="0" w:type="dxa"/>
          <w:bottom w:w="0" w:type="dxa"/>
          <w:right w:w="0" w:type="dxa"/>
        </w:tblCellMar>
      </w:tblPr>
      <w:tr>
        <w:trPr>
          <w:trHeight w:val="238"/>
        </w:trPr>
        <w:tc>
          <w:tcPr>
            <w:tcW w:w="4540" w:type="dxa"/>
            <w:vAlign w:val="bottom"/>
          </w:tcPr>
          <w:p>
            <w:pPr>
              <w:jc w:val="center"/>
              <w:ind w:right="575"/>
              <w:spacing w:after="0"/>
              <w:rPr>
                <w:sz w:val="20"/>
                <w:szCs w:val="20"/>
                <w:color w:val="auto"/>
              </w:rPr>
            </w:pPr>
            <w:r>
              <w:rPr>
                <w:rFonts w:ascii="Times New Roman" w:cs="Times New Roman" w:eastAsia="Times New Roman" w:hAnsi="Times New Roman"/>
                <w:sz w:val="18"/>
                <w:szCs w:val="18"/>
                <w:b w:val="1"/>
                <w:bCs w:val="1"/>
                <w:color w:val="auto"/>
                <w:w w:val="97"/>
              </w:rPr>
              <w:t>Texas</w:t>
            </w:r>
          </w:p>
        </w:tc>
        <w:tc>
          <w:tcPr>
            <w:tcW w:w="3000" w:type="dxa"/>
            <w:vAlign w:val="bottom"/>
          </w:tcPr>
          <w:p>
            <w:pPr>
              <w:jc w:val="right"/>
              <w:ind w:right="655"/>
              <w:spacing w:after="0"/>
              <w:rPr>
                <w:sz w:val="20"/>
                <w:szCs w:val="20"/>
                <w:color w:val="auto"/>
              </w:rPr>
            </w:pPr>
            <w:r>
              <w:rPr>
                <w:rFonts w:ascii="Times New Roman" w:cs="Times New Roman" w:eastAsia="Times New Roman" w:hAnsi="Times New Roman"/>
                <w:sz w:val="18"/>
                <w:szCs w:val="18"/>
                <w:b w:val="1"/>
                <w:bCs w:val="1"/>
                <w:color w:val="auto"/>
              </w:rPr>
              <w:t>87-3920732</w:t>
            </w:r>
          </w:p>
        </w:tc>
      </w:tr>
      <w:tr>
        <w:trPr>
          <w:trHeight w:val="278"/>
        </w:trPr>
        <w:tc>
          <w:tcPr>
            <w:tcW w:w="4540" w:type="dxa"/>
            <w:vAlign w:val="bottom"/>
          </w:tcPr>
          <w:p>
            <w:pPr>
              <w:jc w:val="center"/>
              <w:ind w:right="575"/>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000" w:type="dxa"/>
            <w:vAlign w:val="bottom"/>
          </w:tcPr>
          <w:p>
            <w:pPr>
              <w:jc w:val="center"/>
              <w:ind w:left="555"/>
              <w:spacing w:after="0"/>
              <w:rPr>
                <w:sz w:val="20"/>
                <w:szCs w:val="20"/>
                <w:color w:val="auto"/>
              </w:rPr>
            </w:pPr>
            <w:r>
              <w:rPr>
                <w:rFonts w:ascii="Times New Roman" w:cs="Times New Roman" w:eastAsia="Times New Roman" w:hAnsi="Times New Roman"/>
                <w:sz w:val="16"/>
                <w:szCs w:val="16"/>
                <w:color w:val="auto"/>
              </w:rPr>
              <w:t>(I.R.S. Employer Identification No.)</w:t>
            </w:r>
          </w:p>
        </w:tc>
      </w:tr>
    </w:tbl>
    <w:p>
      <w:pPr>
        <w:spacing w:after="0" w:line="3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1600 West 7th Street, Fort Worth, Texas 76102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3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(817) 335-1100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35" w:lineRule="exact"/>
        <w:rPr>
          <w:sz w:val="24"/>
          <w:szCs w:val="24"/>
          <w:color w:val="auto"/>
        </w:rPr>
      </w:pPr>
    </w:p>
    <w:tbl>
      <w:tblPr>
        <w:tblLayout w:type="fixed"/>
        <w:tblInd w:w="122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304"/>
        </w:trPr>
        <w:tc>
          <w:tcPr>
            <w:tcW w:w="34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Common Stock, par value $.01 per share</w:t>
            </w:r>
          </w:p>
        </w:tc>
        <w:tc>
          <w:tcPr>
            <w:tcW w:w="280" w:type="dxa"/>
            <w:vAlign w:val="bottom"/>
          </w:tcPr>
          <w:p>
            <w:pPr>
              <w:spacing w:after="0"/>
              <w:rPr>
                <w:sz w:val="24"/>
                <w:szCs w:val="24"/>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FCFS</w:t>
            </w:r>
          </w:p>
        </w:tc>
        <w:tc>
          <w:tcPr>
            <w:tcW w:w="2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w:t>
            </w:r>
          </w:p>
        </w:tc>
      </w:tr>
    </w:tbl>
    <w:p>
      <w:pPr>
        <w:spacing w:after="0" w:line="31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w:t>
      </w:r>
    </w:p>
    <w:p>
      <w:pPr>
        <w:spacing w:after="0" w:line="19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711200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Securities Exchange Act of 1934.</w:t>
      </w:r>
    </w:p>
    <w:p>
      <w:pPr>
        <w:spacing w:after="0" w:line="45" w:lineRule="exact"/>
        <w:rPr>
          <w:sz w:val="20"/>
          <w:szCs w:val="20"/>
          <w:color w:val="auto"/>
        </w:rPr>
      </w:pPr>
    </w:p>
    <w:tbl>
      <w:tblPr>
        <w:tblLayout w:type="fixed"/>
        <w:tblInd w:w="1320" w:type="dxa"/>
        <w:tblCellMar>
          <w:top w:w="0" w:type="dxa"/>
          <w:left w:w="0" w:type="dxa"/>
          <w:bottom w:w="0" w:type="dxa"/>
          <w:right w:w="0" w:type="dxa"/>
        </w:tblCellMar>
      </w:tblPr>
      <w:tr>
        <w:trPr>
          <w:trHeight w:val="257"/>
        </w:trPr>
        <w:tc>
          <w:tcPr>
            <w:tcW w:w="340" w:type="dxa"/>
            <w:vAlign w:val="bottom"/>
          </w:tcPr>
          <w:p>
            <w:pPr>
              <w:spacing w:after="0" w:line="201" w:lineRule="exact"/>
              <w:rPr>
                <w:sz w:val="20"/>
                <w:szCs w:val="20"/>
                <w:color w:val="auto"/>
              </w:rPr>
            </w:pPr>
            <w:r>
              <w:rPr>
                <w:rFonts w:ascii="MS PGothic" w:cs="MS PGothic" w:eastAsia="MS PGothic" w:hAnsi="MS PGothic"/>
                <w:sz w:val="20"/>
                <w:szCs w:val="20"/>
                <w:color w:val="auto"/>
              </w:rPr>
              <w:t>☒</w:t>
            </w:r>
          </w:p>
        </w:tc>
        <w:tc>
          <w:tcPr>
            <w:tcW w:w="2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Large accelerated filer</w:t>
            </w:r>
          </w:p>
        </w:tc>
        <w:tc>
          <w:tcPr>
            <w:tcW w:w="1440" w:type="dxa"/>
            <w:vAlign w:val="bottom"/>
          </w:tcPr>
          <w:p>
            <w:pPr>
              <w:ind w:left="1100"/>
              <w:spacing w:after="0" w:line="201" w:lineRule="exact"/>
              <w:rPr>
                <w:sz w:val="20"/>
                <w:szCs w:val="20"/>
                <w:color w:val="auto"/>
              </w:rPr>
            </w:pPr>
            <w:r>
              <w:rPr>
                <w:rFonts w:ascii="MS PGothic" w:cs="MS PGothic" w:eastAsia="MS PGothic" w:hAnsi="MS PGothic"/>
                <w:sz w:val="20"/>
                <w:szCs w:val="20"/>
                <w:color w:val="auto"/>
              </w:rPr>
              <w:t>☐</w:t>
            </w:r>
          </w:p>
        </w:tc>
        <w:tc>
          <w:tcPr>
            <w:tcW w:w="2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Accelerated filer</w:t>
            </w:r>
          </w:p>
        </w:tc>
      </w:tr>
      <w:tr>
        <w:trPr>
          <w:trHeight w:val="256"/>
        </w:trPr>
        <w:tc>
          <w:tcPr>
            <w:tcW w:w="340" w:type="dxa"/>
            <w:vAlign w:val="bottom"/>
          </w:tcPr>
          <w:p>
            <w:pPr>
              <w:spacing w:after="0" w:line="201" w:lineRule="exact"/>
              <w:rPr>
                <w:sz w:val="20"/>
                <w:szCs w:val="20"/>
                <w:color w:val="auto"/>
              </w:rPr>
            </w:pPr>
            <w:r>
              <w:rPr>
                <w:rFonts w:ascii="MS PGothic" w:cs="MS PGothic" w:eastAsia="MS PGothic" w:hAnsi="MS PGothic"/>
                <w:sz w:val="20"/>
                <w:szCs w:val="20"/>
                <w:color w:val="auto"/>
              </w:rPr>
              <w:t>☐</w:t>
            </w:r>
          </w:p>
        </w:tc>
        <w:tc>
          <w:tcPr>
            <w:tcW w:w="2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Non-accelerated filer</w:t>
            </w:r>
          </w:p>
        </w:tc>
        <w:tc>
          <w:tcPr>
            <w:tcW w:w="1440" w:type="dxa"/>
            <w:vAlign w:val="bottom"/>
          </w:tcPr>
          <w:p>
            <w:pPr>
              <w:ind w:left="1100"/>
              <w:spacing w:after="0" w:line="201" w:lineRule="exact"/>
              <w:rPr>
                <w:sz w:val="20"/>
                <w:szCs w:val="20"/>
                <w:color w:val="auto"/>
              </w:rPr>
            </w:pPr>
            <w:r>
              <w:rPr>
                <w:rFonts w:ascii="MS PGothic" w:cs="MS PGothic" w:eastAsia="MS PGothic" w:hAnsi="MS PGothic"/>
                <w:sz w:val="20"/>
                <w:szCs w:val="20"/>
                <w:color w:val="auto"/>
              </w:rPr>
              <w:t>☐</w:t>
            </w:r>
          </w:p>
        </w:tc>
        <w:tc>
          <w:tcPr>
            <w:tcW w:w="21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Smaller reporting company</w:t>
            </w:r>
          </w:p>
        </w:tc>
      </w:tr>
      <w:tr>
        <w:trPr>
          <w:trHeight w:val="334"/>
        </w:trPr>
        <w:tc>
          <w:tcPr>
            <w:tcW w:w="3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40" w:type="dxa"/>
            <w:vAlign w:val="bottom"/>
          </w:tcPr>
          <w:p>
            <w:pPr>
              <w:ind w:left="1100"/>
              <w:spacing w:after="0" w:line="201" w:lineRule="exact"/>
              <w:rPr>
                <w:sz w:val="20"/>
                <w:szCs w:val="20"/>
                <w:color w:val="auto"/>
              </w:rPr>
            </w:pPr>
            <w:r>
              <w:rPr>
                <w:rFonts w:ascii="MS PGothic" w:cs="MS PGothic" w:eastAsia="MS PGothic" w:hAnsi="MS PGothic"/>
                <w:sz w:val="20"/>
                <w:szCs w:val="20"/>
                <w:color w:val="auto"/>
              </w:rPr>
              <w:t>☐</w:t>
            </w:r>
          </w:p>
        </w:tc>
        <w:tc>
          <w:tcPr>
            <w:tcW w:w="21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Emerging growth company</w:t>
            </w:r>
          </w:p>
        </w:tc>
      </w:tr>
    </w:tbl>
    <w:p>
      <w:pPr>
        <w:spacing w:after="0" w:line="283" w:lineRule="exact"/>
        <w:rPr>
          <w:sz w:val="20"/>
          <w:szCs w:val="20"/>
          <w:color w:val="auto"/>
        </w:rPr>
      </w:pPr>
    </w:p>
    <w:p>
      <w:pPr>
        <w:spacing w:after="0" w:line="250" w:lineRule="exact"/>
        <w:rPr>
          <w:sz w:val="20"/>
          <w:szCs w:val="20"/>
          <w:color w:val="auto"/>
        </w:rPr>
      </w:pPr>
      <w:r>
        <w:rPr>
          <w:rFonts w:ascii="Times New Roman" w:cs="Times New Roman" w:eastAsia="Times New Roman" w:hAnsi="Times New Roman"/>
          <w:sz w:val="18"/>
          <w:szCs w:val="18"/>
          <w:color w:val="211D1E"/>
        </w:rPr>
        <w:t xml:space="preserve">If an emerging growth company, indicate by check mark if the registrant has elected not to use the extended transition period for complying with any new or revised financial accounting standards provided pursuant to Section 13(a) of the Securities Exchange Act of 1934. </w:t>
      </w:r>
      <w:r>
        <w:rPr>
          <w:rFonts w:ascii="MS PGothic" w:cs="MS PGothic" w:eastAsia="MS PGothic" w:hAnsi="MS PGothic"/>
          <w:sz w:val="19"/>
          <w:szCs w:val="19"/>
          <w:color w:val="000000"/>
        </w:rPr>
        <w:t>☐</w:t>
      </w:r>
    </w:p>
    <w:p>
      <w:pPr>
        <w:spacing w:after="0" w:line="154" w:lineRule="exact"/>
        <w:rPr>
          <w:sz w:val="20"/>
          <w:szCs w:val="20"/>
          <w:color w:val="auto"/>
        </w:rPr>
      </w:pPr>
    </w:p>
    <w:p>
      <w:pPr>
        <w:spacing w:after="0" w:line="207" w:lineRule="exact"/>
        <w:tabs>
          <w:tab w:leader="none" w:pos="97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Securities Exchange Act of 1934).</w:t>
      </w:r>
      <w:r>
        <w:rPr>
          <w:sz w:val="20"/>
          <w:szCs w:val="20"/>
          <w:color w:val="auto"/>
        </w:rPr>
        <w:tab/>
      </w:r>
      <w:r>
        <w:rPr>
          <w:rFonts w:ascii="MS PGothic" w:cs="MS PGothic" w:eastAsia="MS PGothic" w:hAnsi="MS PGothic"/>
          <w:sz w:val="19"/>
          <w:szCs w:val="19"/>
          <w:color w:val="auto"/>
        </w:rPr>
        <w:t xml:space="preserve">☐ </w:t>
      </w:r>
      <w:r>
        <w:rPr>
          <w:rFonts w:ascii="Times New Roman" w:cs="Times New Roman" w:eastAsia="Times New Roman" w:hAnsi="Times New Roman"/>
          <w:sz w:val="16"/>
          <w:szCs w:val="16"/>
          <w:color w:val="auto"/>
        </w:rPr>
        <w:t>Yes</w:t>
      </w:r>
      <w:r>
        <w:rPr>
          <w:rFonts w:ascii="MS PGothic" w:cs="MS PGothic" w:eastAsia="MS PGothic" w:hAnsi="MS PGothic"/>
          <w:sz w:val="19"/>
          <w:szCs w:val="19"/>
          <w:color w:val="auto"/>
        </w:rPr>
        <w:t xml:space="preserve"> ☒ </w:t>
      </w:r>
      <w:r>
        <w:rPr>
          <w:rFonts w:ascii="Times New Roman" w:cs="Times New Roman" w:eastAsia="Times New Roman" w:hAnsi="Times New Roman"/>
          <w:sz w:val="16"/>
          <w:szCs w:val="16"/>
          <w:color w:val="auto"/>
        </w:rPr>
        <w:t>No</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21, 2026, there were 42,887,671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1118870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FIRSTCASH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 FOR THE QUARTER ENDED SEPTEMBER 30, 2026</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INDEX</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1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PART I.</w:t>
            </w:r>
          </w:p>
        </w:tc>
        <w:tc>
          <w:tcPr>
            <w:tcW w:w="92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79"/>
        </w:trPr>
        <w:tc>
          <w:tcPr>
            <w:tcW w:w="4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60" w:type="dxa"/>
            <w:vAlign w:val="bottom"/>
          </w:tcPr>
          <w:p>
            <w:pPr>
              <w:spacing w:after="0"/>
              <w:rPr>
                <w:sz w:val="24"/>
                <w:szCs w:val="24"/>
                <w:color w:val="auto"/>
              </w:rPr>
            </w:pPr>
          </w:p>
        </w:tc>
        <w:tc>
          <w:tcPr>
            <w:tcW w:w="540" w:type="dxa"/>
            <w:vAlign w:val="bottom"/>
            <w:gridSpan w:val="4"/>
          </w:tcPr>
          <w:p>
            <w:pPr>
              <w:spacing w:after="0"/>
              <w:rPr>
                <w:sz w:val="24"/>
                <w:szCs w:val="24"/>
                <w:color w:val="auto"/>
              </w:rPr>
            </w:pPr>
          </w:p>
        </w:tc>
        <w:tc>
          <w:tcPr>
            <w:tcW w:w="92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w:t>
            </w:r>
          </w:p>
        </w:tc>
        <w:tc>
          <w:tcPr>
            <w:tcW w:w="700" w:type="dxa"/>
            <w:vAlign w:val="bottom"/>
          </w:tcPr>
          <w:p>
            <w:pPr>
              <w:spacing w:after="0"/>
              <w:rPr>
                <w:sz w:val="24"/>
                <w:szCs w:val="24"/>
                <w:color w:val="auto"/>
              </w:rPr>
            </w:pPr>
          </w:p>
        </w:tc>
      </w:tr>
      <w:tr>
        <w:trPr>
          <w:trHeight w:val="210"/>
        </w:trPr>
        <w:tc>
          <w:tcPr>
            <w:tcW w:w="40" w:type="dxa"/>
            <w:vAlign w:val="bottom"/>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10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120" w:type="dxa"/>
            <w:vAlign w:val="bottom"/>
            <w:tcBorders>
              <w:top w:val="single" w:sz="8" w:color="0000FF"/>
            </w:tcBorders>
            <w:gridSpan w:val="2"/>
          </w:tcPr>
          <w:p>
            <w:pPr>
              <w:spacing w:after="0"/>
              <w:rPr>
                <w:sz w:val="18"/>
                <w:szCs w:val="18"/>
                <w:color w:val="auto"/>
              </w:rPr>
            </w:pPr>
          </w:p>
        </w:tc>
        <w:tc>
          <w:tcPr>
            <w:tcW w:w="6780" w:type="dxa"/>
            <w:vAlign w:val="bottom"/>
            <w:gridSpan w:val="8"/>
          </w:tcPr>
          <w:p>
            <w:pPr>
              <w:spacing w:after="0"/>
              <w:rPr>
                <w:sz w:val="18"/>
                <w:szCs w:val="18"/>
                <w:color w:val="auto"/>
              </w:rPr>
            </w:pPr>
          </w:p>
        </w:tc>
        <w:tc>
          <w:tcPr>
            <w:tcW w:w="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1</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Consolidated Statements of Income</w:t>
            </w:r>
          </w:p>
        </w:tc>
        <w:tc>
          <w:tcPr>
            <w:tcW w:w="6420" w:type="dxa"/>
            <w:vAlign w:val="bottom"/>
            <w:gridSpan w:val="7"/>
          </w:tcPr>
          <w:p>
            <w:pPr>
              <w:spacing w:after="0"/>
              <w:rPr>
                <w:sz w:val="18"/>
                <w:szCs w:val="18"/>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2</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w:t>
            </w:r>
          </w:p>
        </w:tc>
        <w:tc>
          <w:tcPr>
            <w:tcW w:w="70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4</w:t>
            </w:r>
          </w:p>
        </w:tc>
        <w:tc>
          <w:tcPr>
            <w:tcW w:w="70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1520" w:type="dxa"/>
            <w:vAlign w:val="bottom"/>
            <w:tcBorders>
              <w:top w:val="single" w:sz="8" w:color="0000FF"/>
            </w:tcBorders>
            <w:gridSpan w:val="4"/>
          </w:tcPr>
          <w:p>
            <w:pPr>
              <w:spacing w:after="0"/>
              <w:rPr>
                <w:sz w:val="18"/>
                <w:szCs w:val="18"/>
                <w:color w:val="auto"/>
              </w:rPr>
            </w:pPr>
          </w:p>
        </w:tc>
        <w:tc>
          <w:tcPr>
            <w:tcW w:w="4600" w:type="dxa"/>
            <w:vAlign w:val="bottom"/>
            <w:gridSpan w:val="2"/>
          </w:tcPr>
          <w:p>
            <w:pPr>
              <w:spacing w:after="0"/>
              <w:rPr>
                <w:sz w:val="18"/>
                <w:szCs w:val="18"/>
                <w:color w:val="auto"/>
              </w:rPr>
            </w:pPr>
          </w:p>
        </w:tc>
        <w:tc>
          <w:tcPr>
            <w:tcW w:w="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6</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5840" w:type="dxa"/>
            <w:vAlign w:val="bottom"/>
            <w:gridSpan w:val="5"/>
          </w:tcPr>
          <w:p>
            <w:pPr>
              <w:spacing w:after="0"/>
              <w:rPr>
                <w:sz w:val="18"/>
                <w:szCs w:val="18"/>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7</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480" w:type="dxa"/>
            <w:vAlign w:val="bottom"/>
            <w:gridSpan w:val="3"/>
          </w:tcPr>
          <w:p>
            <w:pPr>
              <w:spacing w:after="0"/>
              <w:rPr>
                <w:sz w:val="18"/>
                <w:szCs w:val="18"/>
                <w:color w:val="auto"/>
              </w:rPr>
            </w:pPr>
          </w:p>
        </w:tc>
        <w:tc>
          <w:tcPr>
            <w:tcW w:w="92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27</w:t>
            </w:r>
          </w:p>
        </w:tc>
      </w:tr>
      <w:tr>
        <w:trPr>
          <w:trHeight w:val="20"/>
        </w:trPr>
        <w:tc>
          <w:tcPr>
            <w:tcW w:w="4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40" w:type="dxa"/>
            <w:vAlign w:val="bottom"/>
            <w:tcBorders>
              <w:right w:val="single" w:sz="8" w:color="0000FF"/>
            </w:tcBorders>
            <w:gridSpan w:val="6"/>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120" w:type="dxa"/>
            <w:vAlign w:val="bottom"/>
            <w:gridSpan w:val="2"/>
          </w:tcPr>
          <w:p>
            <w:pPr>
              <w:spacing w:after="0"/>
              <w:rPr>
                <w:sz w:val="18"/>
                <w:szCs w:val="18"/>
                <w:color w:val="auto"/>
              </w:rPr>
            </w:pPr>
          </w:p>
        </w:tc>
        <w:tc>
          <w:tcPr>
            <w:tcW w:w="480" w:type="dxa"/>
            <w:vAlign w:val="bottom"/>
            <w:gridSpan w:val="3"/>
          </w:tcPr>
          <w:p>
            <w:pPr>
              <w:spacing w:after="0"/>
              <w:rPr>
                <w:sz w:val="18"/>
                <w:szCs w:val="18"/>
                <w:color w:val="auto"/>
              </w:rPr>
            </w:pPr>
          </w:p>
        </w:tc>
        <w:tc>
          <w:tcPr>
            <w:tcW w:w="43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60" w:type="dxa"/>
            <w:vAlign w:val="bottom"/>
            <w:gridSpan w:val="2"/>
          </w:tcPr>
          <w:p>
            <w:pPr>
              <w:spacing w:after="0"/>
              <w:rPr>
                <w:sz w:val="18"/>
                <w:szCs w:val="18"/>
                <w:color w:val="auto"/>
              </w:rPr>
            </w:pPr>
          </w:p>
        </w:tc>
        <w:tc>
          <w:tcPr>
            <w:tcW w:w="2760" w:type="dxa"/>
            <w:vAlign w:val="bottom"/>
          </w:tcPr>
          <w:p>
            <w:pPr>
              <w:spacing w:after="0"/>
              <w:rPr>
                <w:sz w:val="18"/>
                <w:szCs w:val="18"/>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52</w:t>
            </w: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40" w:type="dxa"/>
            <w:vAlign w:val="bottom"/>
            <w:tcBorders>
              <w:right w:val="single" w:sz="8" w:color="0000FF"/>
            </w:tcBorders>
            <w:gridSpan w:val="6"/>
            <w:shd w:val="clear" w:color="auto" w:fill="0000FF"/>
          </w:tcPr>
          <w:p>
            <w:pPr>
              <w:spacing w:after="0" w:line="20" w:lineRule="exact"/>
              <w:rPr>
                <w:sz w:val="1"/>
                <w:szCs w:val="1"/>
                <w:color w:val="auto"/>
              </w:rPr>
            </w:pPr>
          </w:p>
        </w:tc>
        <w:tc>
          <w:tcPr>
            <w:tcW w:w="48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600" w:type="dxa"/>
            <w:vAlign w:val="bottom"/>
            <w:gridSpan w:val="5"/>
          </w:tcPr>
          <w:p>
            <w:pPr>
              <w:spacing w:after="0"/>
              <w:rPr>
                <w:sz w:val="18"/>
                <w:szCs w:val="18"/>
                <w:color w:val="auto"/>
              </w:rPr>
            </w:pPr>
          </w:p>
        </w:tc>
        <w:tc>
          <w:tcPr>
            <w:tcW w:w="17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600" w:type="dxa"/>
            <w:vAlign w:val="bottom"/>
            <w:gridSpan w:val="10"/>
          </w:tcPr>
          <w:p>
            <w:pPr>
              <w:spacing w:after="0"/>
              <w:rPr>
                <w:sz w:val="18"/>
                <w:szCs w:val="18"/>
                <w:color w:val="auto"/>
              </w:rPr>
            </w:pPr>
          </w:p>
        </w:tc>
        <w:tc>
          <w:tcPr>
            <w:tcW w:w="4820" w:type="dxa"/>
            <w:vAlign w:val="bottom"/>
            <w:gridSpan w:val="3"/>
          </w:tcPr>
          <w:p>
            <w:pPr>
              <w:spacing w:after="0"/>
              <w:rPr>
                <w:sz w:val="18"/>
                <w:szCs w:val="18"/>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52</w:t>
            </w: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4820" w:type="dxa"/>
            <w:vAlign w:val="bottom"/>
            <w:gridSpan w:val="3"/>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79"/>
        </w:trPr>
        <w:tc>
          <w:tcPr>
            <w:tcW w:w="40" w:type="dxa"/>
            <w:vAlign w:val="bottom"/>
          </w:tcPr>
          <w:p>
            <w:pPr>
              <w:spacing w:after="0"/>
              <w:rPr>
                <w:sz w:val="24"/>
                <w:szCs w:val="24"/>
                <w:color w:val="auto"/>
              </w:rPr>
            </w:pPr>
          </w:p>
        </w:tc>
        <w:tc>
          <w:tcPr>
            <w:tcW w:w="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5"/>
              </w:rPr>
              <w:t>PART II.</w:t>
            </w:r>
          </w:p>
        </w:tc>
        <w:tc>
          <w:tcPr>
            <w:tcW w:w="460" w:type="dxa"/>
            <w:vAlign w:val="bottom"/>
            <w:gridSpan w:val="2"/>
          </w:tcPr>
          <w:p>
            <w:pPr>
              <w:spacing w:after="0"/>
              <w:rPr>
                <w:sz w:val="24"/>
                <w:szCs w:val="24"/>
                <w:color w:val="auto"/>
              </w:rPr>
            </w:pPr>
          </w:p>
        </w:tc>
        <w:tc>
          <w:tcPr>
            <w:tcW w:w="1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300" w:type="dxa"/>
            <w:vAlign w:val="bottom"/>
            <w:gridSpan w:val="12"/>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80"/>
        </w:trPr>
        <w:tc>
          <w:tcPr>
            <w:tcW w:w="4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480" w:type="dxa"/>
            <w:vAlign w:val="bottom"/>
            <w:gridSpan w:val="3"/>
          </w:tcPr>
          <w:p>
            <w:pPr>
              <w:spacing w:after="0"/>
              <w:rPr>
                <w:sz w:val="24"/>
                <w:szCs w:val="24"/>
                <w:color w:val="auto"/>
              </w:rPr>
            </w:pPr>
          </w:p>
        </w:tc>
        <w:tc>
          <w:tcPr>
            <w:tcW w:w="92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53</w:t>
            </w:r>
          </w:p>
        </w:tc>
      </w:tr>
      <w:tr>
        <w:trPr>
          <w:trHeight w:val="20"/>
        </w:trPr>
        <w:tc>
          <w:tcPr>
            <w:tcW w:w="4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5"/>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4820" w:type="dxa"/>
            <w:vAlign w:val="bottom"/>
            <w:gridSpan w:val="3"/>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1A.</w:t>
            </w:r>
          </w:p>
        </w:tc>
        <w:tc>
          <w:tcPr>
            <w:tcW w:w="92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53</w:t>
            </w:r>
          </w:p>
        </w:tc>
      </w:tr>
      <w:tr>
        <w:trPr>
          <w:trHeight w:val="20"/>
        </w:trPr>
        <w:tc>
          <w:tcPr>
            <w:tcW w:w="4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48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460" w:type="dxa"/>
            <w:vAlign w:val="bottom"/>
            <w:tcBorders>
              <w:bottom w:val="single" w:sz="8" w:color="0000FF"/>
            </w:tcBorders>
            <w:gridSpan w:val="2"/>
          </w:tcPr>
          <w:p>
            <w:pPr>
              <w:spacing w:after="0"/>
              <w:rPr>
                <w:sz w:val="18"/>
                <w:szCs w:val="18"/>
                <w:color w:val="auto"/>
              </w:rPr>
            </w:pPr>
          </w:p>
        </w:tc>
        <w:tc>
          <w:tcPr>
            <w:tcW w:w="20" w:type="dxa"/>
            <w:vAlign w:val="bottom"/>
          </w:tcPr>
          <w:p>
            <w:pPr>
              <w:spacing w:after="0"/>
              <w:rPr>
                <w:sz w:val="18"/>
                <w:szCs w:val="18"/>
                <w:color w:val="auto"/>
              </w:rPr>
            </w:pPr>
          </w:p>
        </w:tc>
        <w:tc>
          <w:tcPr>
            <w:tcW w:w="43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820" w:type="dxa"/>
            <w:vAlign w:val="bottom"/>
            <w:gridSpan w:val="3"/>
          </w:tcPr>
          <w:p>
            <w:pPr>
              <w:spacing w:after="0"/>
              <w:rPr>
                <w:sz w:val="18"/>
                <w:szCs w:val="18"/>
                <w:color w:val="auto"/>
              </w:rPr>
            </w:pPr>
          </w:p>
        </w:tc>
        <w:tc>
          <w:tcPr>
            <w:tcW w:w="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53</w:t>
            </w:r>
          </w:p>
        </w:tc>
      </w:tr>
      <w:tr>
        <w:trPr>
          <w:trHeight w:val="209"/>
        </w:trPr>
        <w:tc>
          <w:tcPr>
            <w:tcW w:w="4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600" w:type="dxa"/>
            <w:vAlign w:val="bottom"/>
            <w:gridSpan w:val="5"/>
          </w:tcPr>
          <w:p>
            <w:pPr>
              <w:spacing w:after="0"/>
              <w:rPr>
                <w:sz w:val="18"/>
                <w:szCs w:val="18"/>
                <w:color w:val="auto"/>
              </w:rPr>
            </w:pPr>
          </w:p>
        </w:tc>
        <w:tc>
          <w:tcPr>
            <w:tcW w:w="23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6860" w:type="dxa"/>
            <w:vAlign w:val="bottom"/>
            <w:gridSpan w:val="9"/>
          </w:tcPr>
          <w:p>
            <w:pPr>
              <w:spacing w:after="0"/>
              <w:rPr>
                <w:sz w:val="18"/>
                <w:szCs w:val="18"/>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53</w:t>
            </w: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6860" w:type="dxa"/>
            <w:vAlign w:val="bottom"/>
            <w:gridSpan w:val="9"/>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600" w:type="dxa"/>
            <w:vAlign w:val="bottom"/>
            <w:gridSpan w:val="5"/>
          </w:tcPr>
          <w:p>
            <w:pPr>
              <w:spacing w:after="0"/>
              <w:rPr>
                <w:sz w:val="18"/>
                <w:szCs w:val="18"/>
                <w:color w:val="auto"/>
              </w:rPr>
            </w:pPr>
          </w:p>
        </w:tc>
        <w:tc>
          <w:tcPr>
            <w:tcW w:w="17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60" w:type="dxa"/>
            <w:vAlign w:val="bottom"/>
            <w:gridSpan w:val="4"/>
          </w:tcPr>
          <w:p>
            <w:pPr>
              <w:spacing w:after="0"/>
              <w:rPr>
                <w:sz w:val="18"/>
                <w:szCs w:val="18"/>
                <w:color w:val="auto"/>
              </w:rPr>
            </w:pPr>
          </w:p>
        </w:tc>
        <w:tc>
          <w:tcPr>
            <w:tcW w:w="6860" w:type="dxa"/>
            <w:vAlign w:val="bottom"/>
            <w:gridSpan w:val="9"/>
          </w:tcPr>
          <w:p>
            <w:pPr>
              <w:spacing w:after="0"/>
              <w:rPr>
                <w:sz w:val="18"/>
                <w:szCs w:val="18"/>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53</w:t>
            </w: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420" w:type="dxa"/>
            <w:vAlign w:val="bottom"/>
            <w:gridSpan w:val="1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600" w:type="dxa"/>
            <w:vAlign w:val="bottom"/>
            <w:gridSpan w:val="5"/>
          </w:tcPr>
          <w:p>
            <w:pPr>
              <w:spacing w:after="0"/>
              <w:rPr>
                <w:sz w:val="18"/>
                <w:szCs w:val="18"/>
                <w:color w:val="auto"/>
              </w:rPr>
            </w:pPr>
          </w:p>
        </w:tc>
        <w:tc>
          <w:tcPr>
            <w:tcW w:w="17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20" w:type="dxa"/>
            <w:vAlign w:val="bottom"/>
            <w:gridSpan w:val="13"/>
          </w:tcPr>
          <w:p>
            <w:pPr>
              <w:spacing w:after="0"/>
              <w:rPr>
                <w:sz w:val="18"/>
                <w:szCs w:val="18"/>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54</w:t>
            </w: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880" w:type="dxa"/>
            <w:vAlign w:val="bottom"/>
            <w:gridSpan w:val="1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600" w:type="dxa"/>
            <w:vAlign w:val="bottom"/>
            <w:gridSpan w:val="5"/>
          </w:tcPr>
          <w:p>
            <w:pPr>
              <w:spacing w:after="0"/>
              <w:rPr>
                <w:sz w:val="18"/>
                <w:szCs w:val="18"/>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80" w:type="dxa"/>
            <w:vAlign w:val="bottom"/>
            <w:gridSpan w:val="14"/>
          </w:tcPr>
          <w:p>
            <w:pPr>
              <w:spacing w:after="0"/>
              <w:rPr>
                <w:sz w:val="18"/>
                <w:szCs w:val="18"/>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54</w:t>
            </w: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79"/>
        </w:trPr>
        <w:tc>
          <w:tcPr>
            <w:tcW w:w="40" w:type="dxa"/>
            <w:vAlign w:val="bottom"/>
          </w:tcPr>
          <w:p>
            <w:pPr>
              <w:spacing w:after="0"/>
              <w:rPr>
                <w:sz w:val="24"/>
                <w:szCs w:val="24"/>
                <w:color w:val="auto"/>
              </w:rPr>
            </w:pPr>
          </w:p>
        </w:tc>
        <w:tc>
          <w:tcPr>
            <w:tcW w:w="11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SIGNATURES</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55</w:t>
            </w:r>
          </w:p>
        </w:tc>
      </w:tr>
      <w:tr>
        <w:trPr>
          <w:trHeight w:val="1229"/>
        </w:trPr>
        <w:tc>
          <w:tcPr>
            <w:tcW w:w="4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RISKS AND UNCERTAINTIES THAT MAY AFFECT FUTURE RESULTS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contains forward-looking statements about the business, financial condition, outlook and prospects of FirstCash Holdings, Inc. and its wholly owned subsidiaries (together, the “Company”) and the Company’s previously announced acquisition of Ramsdens Holdings plc (“Ramsdens”). Forward-looking statements, as that term is defined in the Private Securities Litigation Reform Act of 1995, can be identified by the use of forward-looking terminology such as “believes,” “projects,” “expects,” “may,” “estimates,” “should,” “plans,” “targets,” “intends,” “could,” “would,” “anticipates,” “potential,” “confident,” “optimistic,” or the negative thereof, or other variations thereon, or comparable terminology, or by discussions of strategy, objectives, estimates, guidance, expectations, outlook and future plans. Forward-looking statements can also be identified by the fact these statements do not relate strictly to historical or current matters. Rather, forward-looking statements relate to anticipated or expected events, activities, trends or results. Because forward-looking statements relate to matters that have not yet occurred, these statements are inherently subject to risks and uncertainties.</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While the Company believes the expectations reflected in forward-looking statements are reasonable, there can be no assurances such expectations will prove to be accurate. Security holders are cautioned that such forward-looking statements involve risks and uncertainties. Certain factors may cause results to differ materially from those anticipated by the forward-looking statements made in this quarterly report. Such factors and risks may include, without limitation, risks related to the extensive regulatory environment in which the Company operates, including uncertainty involving the present regulatory environment in the jurisdictions in which the Company operates; risks associated with the legal and regulatory proceedings that the Company is a party to or may become a party to in the future; risks related to the Company’s acquisitions, including the failure of the Company’s acquisitions to deliver the estimated value and benefits expected by the Company and the ability of the Company to continue to identify and consummate acquisitions on favorable terms, if at all, and the ability of the Company to successfully integrate such acquisitions; risks related to the acquisition of Ramsdens, in particular, the ability to obtain the necessary anti-trust approval and to satisfy other customary closing conditions in the expected timeframe, if at all, and the ability to achieve the anticipated benefits from the acquisition of Ramsdens on the anticipated timeline, if at all; potential changes in consumer behavior and shopping patterns which could impact demand for the Company’s pawn loan, retail, lease-to-own (“LTO”) and retail finance products; labor shortages and increased labor costs; a deterioration in the economic conditions in the United States, Latin America and the United Kingdom, including as a result of geopolitical conflicts, inflation, elevated interest rates, increased energy costs and trade policy, which potentially could have an impact on discretionary consumer spending and demand for the Company’s products; currency fluctuations, primarily involving the Mexican peso and British pound sterling; competition the Company faces from other retailers and providers of retail payment solutions; the ability of the Company to successfully execute on its business strategies; risks related to the Company’s ability to prevent cyber attacks, other cybersecurity incidents, security breaches or other disruptions to its information technology systems; risks related to the Company’s ability to develop, operate and adapt its information technology infrastructure suitable for the nature of its business and to successfully transition acquired businesses to its information technology platform; risks related to the Company’s ability to keep pace with the adoption of generative artificial intelligence and other machine learning technologies to remain competitive; risks related to the contraction in sales activity or store closures at merchant partners of the Company’s retail point-of-sale (“POS”) payment solutions business; the ability of the Company’s retail POS payment solutions business to continue to grow its base of merchant partners; and other risks discussed and described in the Company’s most recent Annual Report on Form 10-K filed with the Securities and Exchange Commission (the “SEC”), including the risks described in Part I, Item 1A, “Risk Factors” thereof, and other reports filed with the SEC. Many of these risks and uncertainties are beyond the ability of the Company to control, nor can the Company predict, in many cases, all of the risks and uncertainties that could cause its actual results to differ materially from those indicated by the forward-looking statements. The forward-looking statements contained in this quarterly report speak only as of the date of this quarterly report, and the Company expressly disclaims any obligation or undertaking to report any updates or revisions to any such statement to reflect any change in the Company’s expectations or any change in events, conditions or circumstances on which any such statement is based,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702310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 FINANCIAL INFORMATION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FINANCIAL STATEMENTS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FIRSTCASH HOLDINGS,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September 30,</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December 31,</w:t>
            </w:r>
          </w:p>
        </w:tc>
      </w:tr>
      <w:tr>
        <w:trPr>
          <w:trHeight w:val="214"/>
        </w:trPr>
        <w:tc>
          <w:tcPr>
            <w:tcW w:w="6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2025</w:t>
            </w:r>
          </w:p>
        </w:tc>
      </w:tr>
      <w:tr>
        <w:trPr>
          <w:trHeight w:val="198"/>
        </w:trPr>
        <w:tc>
          <w:tcPr>
            <w:tcW w:w="6740" w:type="dxa"/>
            <w:vAlign w:val="bottom"/>
            <w:shd w:val="clear" w:color="auto" w:fill="CCEEFF"/>
          </w:tcPr>
          <w:p>
            <w:pPr>
              <w:ind w:left="3080"/>
              <w:spacing w:after="0"/>
              <w:rPr>
                <w:sz w:val="20"/>
                <w:szCs w:val="20"/>
                <w:color w:val="auto"/>
              </w:rPr>
            </w:pPr>
            <w:r>
              <w:rPr>
                <w:rFonts w:ascii="Times New Roman" w:cs="Times New Roman" w:eastAsia="Times New Roman" w:hAnsi="Times New Roman"/>
                <w:sz w:val="16"/>
                <w:szCs w:val="16"/>
                <w:color w:val="auto"/>
              </w:rPr>
              <w:t>ASSETS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4"/>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203,159</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130,240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125,197</w:t>
            </w:r>
          </w:p>
        </w:tc>
      </w:tr>
      <w:tr>
        <w:trPr>
          <w:trHeight w:val="21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122,476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115,854</w:t>
            </w:r>
          </w:p>
        </w:tc>
      </w:tr>
      <w:tr>
        <w:trPr>
          <w:trHeight w:val="214"/>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Pawn loans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907,670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788,130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831,497</w:t>
            </w:r>
          </w:p>
        </w:tc>
      </w:tr>
      <w:tr>
        <w:trPr>
          <w:trHeight w:val="21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receivables, net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124,115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150,274</w:t>
            </w:r>
          </w:p>
        </w:tc>
      </w:tr>
      <w:tr>
        <w:trPr>
          <w:trHeight w:val="214"/>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598,551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456,273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487,232</w:t>
            </w:r>
          </w:p>
        </w:tc>
      </w:tr>
      <w:tr>
        <w:trPr>
          <w:trHeight w:val="21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merchandise, net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74,705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114,283</w:t>
            </w:r>
          </w:p>
        </w:tc>
      </w:tr>
      <w:tr>
        <w:trPr>
          <w:trHeight w:val="214"/>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36,360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49,008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32,131</w:t>
            </w:r>
          </w:p>
        </w:tc>
      </w:tr>
      <w:tr>
        <w:trPr>
          <w:trHeight w:val="211"/>
        </w:trPr>
        <w:tc>
          <w:tcPr>
            <w:tcW w:w="6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2,067,036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1,792,360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1,856,468</w:t>
            </w:r>
          </w:p>
        </w:tc>
      </w:tr>
      <w:tr>
        <w:trPr>
          <w:trHeight w:val="94"/>
        </w:trPr>
        <w:tc>
          <w:tcPr>
            <w:tcW w:w="6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883,675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786,389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808,050</w:t>
            </w:r>
          </w:p>
        </w:tc>
      </w:tr>
      <w:tr>
        <w:trPr>
          <w:trHeight w:val="214"/>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 of use asset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366,097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371,311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365,621</w:t>
            </w:r>
          </w:p>
        </w:tc>
      </w:tr>
      <w:tr>
        <w:trPr>
          <w:trHeight w:val="21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2,035,199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1,970,358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2,023,426</w:t>
            </w:r>
          </w:p>
        </w:tc>
      </w:tr>
      <w:tr>
        <w:trPr>
          <w:trHeight w:val="214"/>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185,351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246,722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231,140</w:t>
            </w:r>
          </w:p>
        </w:tc>
      </w:tr>
      <w:tr>
        <w:trPr>
          <w:trHeight w:val="21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12,549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9,796</w:t>
            </w:r>
          </w:p>
        </w:tc>
      </w:tr>
      <w:tr>
        <w:trPr>
          <w:trHeight w:val="214"/>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9,266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6,262</w:t>
            </w:r>
          </w:p>
        </w:tc>
      </w:tr>
      <w:tr>
        <w:trPr>
          <w:trHeight w:val="236"/>
        </w:trPr>
        <w:tc>
          <w:tcPr>
            <w:tcW w:w="67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5,559,173</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5,182,316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5,300,763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6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16"/>
        </w:trPr>
        <w:tc>
          <w:tcPr>
            <w:tcW w:w="674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4"/>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222,801</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163,412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212,615</w:t>
            </w:r>
          </w:p>
        </w:tc>
      </w:tr>
      <w:tr>
        <w:trPr>
          <w:trHeight w:val="21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deposits and prepayments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95,792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83,908</w:t>
            </w:r>
          </w:p>
        </w:tc>
      </w:tr>
      <w:tr>
        <w:trPr>
          <w:trHeight w:val="214"/>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Lease liability, current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111,201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111,327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111,291</w:t>
            </w:r>
          </w:p>
        </w:tc>
      </w:tr>
      <w:tr>
        <w:trPr>
          <w:trHeight w:val="211"/>
        </w:trPr>
        <w:tc>
          <w:tcPr>
            <w:tcW w:w="6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429,794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359,259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407,814</w:t>
            </w:r>
          </w:p>
        </w:tc>
      </w:tr>
      <w:tr>
        <w:trPr>
          <w:trHeight w:val="95"/>
        </w:trPr>
        <w:tc>
          <w:tcPr>
            <w:tcW w:w="6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unsecured credit facility</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169,000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559,000</w:t>
            </w:r>
          </w:p>
        </w:tc>
      </w:tr>
      <w:tr>
        <w:trPr>
          <w:trHeight w:val="214"/>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debt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2,278,072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1,638,106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1,649,434</w:t>
            </w:r>
          </w:p>
        </w:tc>
      </w:tr>
      <w:tr>
        <w:trPr>
          <w:trHeight w:val="21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159,590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158,819</w:t>
            </w:r>
          </w:p>
        </w:tc>
      </w:tr>
      <w:tr>
        <w:trPr>
          <w:trHeight w:val="214"/>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Lease liability, non-current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249,386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255,010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248,934</w:t>
            </w:r>
          </w:p>
        </w:tc>
      </w:tr>
      <w:tr>
        <w:trPr>
          <w:trHeight w:val="210"/>
        </w:trPr>
        <w:tc>
          <w:tcPr>
            <w:tcW w:w="6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3,285,842</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2,982,670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3,024,001</w:t>
            </w:r>
          </w:p>
        </w:tc>
      </w:tr>
      <w:tr>
        <w:trPr>
          <w:trHeight w:val="76"/>
        </w:trPr>
        <w:tc>
          <w:tcPr>
            <w:tcW w:w="6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60" w:type="dxa"/>
            <w:vAlign w:val="bottom"/>
          </w:tcPr>
          <w:p>
            <w:pPr>
              <w:spacing w:after="0"/>
              <w:rPr>
                <w:sz w:val="6"/>
                <w:szCs w:val="6"/>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4"/>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r>
      <w:tr>
        <w:trPr>
          <w:trHeight w:val="218"/>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1,766,506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1,766,282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1,771,379</w:t>
            </w:r>
          </w:p>
        </w:tc>
      </w:tr>
      <w:tr>
        <w:trPr>
          <w:trHeight w:val="214"/>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1,917,822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1,584,851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1,670,583</w:t>
            </w:r>
          </w:p>
        </w:tc>
      </w:tr>
      <w:tr>
        <w:trPr>
          <w:trHeight w:val="218"/>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(67,890)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(64,835)</w:t>
            </w:r>
          </w:p>
        </w:tc>
      </w:tr>
      <w:tr>
        <w:trPr>
          <w:trHeight w:val="214"/>
        </w:trPr>
        <w:tc>
          <w:tcPr>
            <w:tcW w:w="6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Common stock held in treasury, at cost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(1,343,682)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(1,075,296)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(1,100,940)</w:t>
            </w:r>
          </w:p>
        </w:tc>
      </w:tr>
      <w:tr>
        <w:trPr>
          <w:trHeight w:val="210"/>
        </w:trPr>
        <w:tc>
          <w:tcPr>
            <w:tcW w:w="6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2,273,331</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2,199,646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2,276,762</w:t>
            </w:r>
          </w:p>
        </w:tc>
      </w:tr>
      <w:tr>
        <w:trPr>
          <w:trHeight w:val="211"/>
        </w:trPr>
        <w:tc>
          <w:tcPr>
            <w:tcW w:w="67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5,559,173</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5,182,316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5,300,763</w:t>
            </w:r>
          </w:p>
        </w:tc>
      </w:tr>
      <w:tr>
        <w:trPr>
          <w:trHeight w:val="21"/>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FIRSTCASH HOLDINGS, INC.</w:t>
      </w:r>
    </w:p>
    <w:p>
      <w:pPr>
        <w:spacing w:after="0" w:line="3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2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(unaudited, in thousands, except per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5"/>
          </w:tcPr>
          <w:p>
            <w:pPr>
              <w:ind w:left="480"/>
              <w:spacing w:after="0"/>
              <w:rPr>
                <w:sz w:val="20"/>
                <w:szCs w:val="20"/>
                <w:color w:val="auto"/>
              </w:rPr>
            </w:pPr>
            <w:r>
              <w:rPr>
                <w:rFonts w:ascii="Times New Roman" w:cs="Times New Roman" w:eastAsia="Times New Roman" w:hAnsi="Times New Roman"/>
                <w:sz w:val="16"/>
                <w:szCs w:val="16"/>
                <w:color w:val="auto"/>
              </w:rPr>
              <w:t>Three Months Ended</w:t>
            </w:r>
          </w:p>
        </w:tc>
        <w:tc>
          <w:tcPr>
            <w:tcW w:w="340" w:type="dxa"/>
            <w:vAlign w:val="bottom"/>
          </w:tcPr>
          <w:p>
            <w:pPr>
              <w:spacing w:after="0"/>
              <w:rPr>
                <w:sz w:val="18"/>
                <w:szCs w:val="18"/>
                <w:color w:val="auto"/>
              </w:rPr>
            </w:pPr>
          </w:p>
        </w:tc>
        <w:tc>
          <w:tcPr>
            <w:tcW w:w="2640" w:type="dxa"/>
            <w:vAlign w:val="bottom"/>
            <w:gridSpan w:val="4"/>
          </w:tcPr>
          <w:p>
            <w:pPr>
              <w:jc w:val="right"/>
              <w:ind w:right="75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19"/>
        </w:trPr>
        <w:tc>
          <w:tcPr>
            <w:tcW w:w="5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September 30,</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September 30,</w:t>
            </w:r>
          </w:p>
        </w:tc>
        <w:tc>
          <w:tcPr>
            <w:tcW w:w="940" w:type="dxa"/>
            <w:vAlign w:val="bottom"/>
            <w:tcBorders>
              <w:bottom w:val="single" w:sz="8" w:color="auto"/>
            </w:tcBorders>
          </w:tcPr>
          <w:p>
            <w:pPr>
              <w:spacing w:after="0"/>
              <w:rPr>
                <w:sz w:val="19"/>
                <w:szCs w:val="19"/>
                <w:color w:val="auto"/>
              </w:rPr>
            </w:pPr>
          </w:p>
        </w:tc>
      </w:tr>
      <w:tr>
        <w:trPr>
          <w:trHeight w:val="211"/>
        </w:trPr>
        <w:tc>
          <w:tcPr>
            <w:tcW w:w="5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2025</w:t>
            </w:r>
          </w:p>
        </w:tc>
      </w:tr>
      <w:tr>
        <w:trPr>
          <w:trHeight w:val="19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4"/>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Retail merchandise sales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480,981</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410,968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1,417,078</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1,167,149</w:t>
            </w:r>
          </w:p>
        </w:tc>
      </w:tr>
      <w:tr>
        <w:trPr>
          <w:trHeight w:val="218"/>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Pawn loan fees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267,290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221,088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792,429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603,781</w:t>
            </w:r>
          </w:p>
        </w:tc>
      </w:tr>
      <w:tr>
        <w:trPr>
          <w:trHeight w:val="214"/>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Leased merchandise income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103,057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348,743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429,242</w:t>
            </w:r>
          </w:p>
        </w:tc>
      </w:tr>
      <w:tr>
        <w:trPr>
          <w:trHeight w:val="218"/>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and fees on retail finance products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73,749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222,046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231,171</w:t>
            </w:r>
          </w:p>
        </w:tc>
      </w:tr>
      <w:tr>
        <w:trPr>
          <w:trHeight w:val="214"/>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Wholesale scrap jewelry sales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172,541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437,154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168,691</w:t>
            </w:r>
          </w:p>
        </w:tc>
      </w:tr>
      <w:tr>
        <w:trPr>
          <w:trHeight w:val="218"/>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revenue</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3,549</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10,056</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w:t>
            </w:r>
          </w:p>
        </w:tc>
      </w:tr>
      <w:tr>
        <w:trPr>
          <w:trHeight w:val="208"/>
        </w:trPr>
        <w:tc>
          <w:tcPr>
            <w:tcW w:w="52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revenue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1,101,167</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935,579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3,227,506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2,602,624</w:t>
            </w:r>
          </w:p>
        </w:tc>
      </w:tr>
      <w:tr>
        <w:trPr>
          <w:trHeight w:val="76"/>
        </w:trPr>
        <w:tc>
          <w:tcPr>
            <w:tcW w:w="52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Cost of retail merchandise sold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294,274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857,942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703,173</w:t>
            </w:r>
          </w:p>
        </w:tc>
      </w:tr>
      <w:tr>
        <w:trPr>
          <w:trHeight w:val="214"/>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of leased merchandise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63,113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215,822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243,119</w:t>
            </w:r>
          </w:p>
        </w:tc>
      </w:tr>
      <w:tr>
        <w:trPr>
          <w:trHeight w:val="218"/>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 for lease losses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17,021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71,204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88,025</w:t>
            </w:r>
          </w:p>
        </w:tc>
      </w:tr>
      <w:tr>
        <w:trPr>
          <w:trHeight w:val="214"/>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Provision for loan losses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40,790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123,564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118,468</w:t>
            </w:r>
          </w:p>
        </w:tc>
      </w:tr>
      <w:tr>
        <w:trPr>
          <w:trHeight w:val="218"/>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Cost of wholesale scrap jewelry sold</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140,159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335,955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138,479</w:t>
            </w:r>
          </w:p>
        </w:tc>
      </w:tr>
      <w:tr>
        <w:trPr>
          <w:trHeight w:val="214"/>
        </w:trPr>
        <w:tc>
          <w:tcPr>
            <w:tcW w:w="5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cost of revenue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267</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1,425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w:t>
            </w:r>
          </w:p>
        </w:tc>
      </w:tr>
      <w:tr>
        <w:trPr>
          <w:trHeight w:val="209"/>
        </w:trPr>
        <w:tc>
          <w:tcPr>
            <w:tcW w:w="52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cost of revenue</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555,624</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461,872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1,605,912</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1,291,898</w:t>
            </w:r>
          </w:p>
        </w:tc>
      </w:tr>
      <w:tr>
        <w:trPr>
          <w:trHeight w:val="76"/>
        </w:trPr>
        <w:tc>
          <w:tcPr>
            <w:tcW w:w="5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40" w:type="dxa"/>
            <w:vAlign w:val="bottom"/>
          </w:tcPr>
          <w:p>
            <w:pPr>
              <w:spacing w:after="0"/>
              <w:rPr>
                <w:sz w:val="6"/>
                <w:szCs w:val="6"/>
                <w:color w:val="auto"/>
              </w:rPr>
            </w:pPr>
          </w:p>
        </w:tc>
      </w:tr>
      <w:tr>
        <w:trPr>
          <w:trHeight w:val="214"/>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545,543</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473,707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1,621,594</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1,310,726</w:t>
            </w:r>
          </w:p>
        </w:tc>
      </w:tr>
      <w:tr>
        <w:trPr>
          <w:trHeight w:val="76"/>
        </w:trPr>
        <w:tc>
          <w:tcPr>
            <w:tcW w:w="5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40" w:type="dxa"/>
            <w:vAlign w:val="bottom"/>
          </w:tcPr>
          <w:p>
            <w:pPr>
              <w:spacing w:after="0"/>
              <w:rPr>
                <w:sz w:val="6"/>
                <w:szCs w:val="6"/>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Expenses and other income: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4"/>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269,106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236,528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806,273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673,607</w:t>
            </w:r>
          </w:p>
        </w:tc>
      </w:tr>
      <w:tr>
        <w:trPr>
          <w:trHeight w:val="218"/>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Administrative expenses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66,723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199,326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166,631</w:t>
            </w:r>
          </w:p>
        </w:tc>
      </w:tr>
      <w:tr>
        <w:trPr>
          <w:trHeight w:val="214"/>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32,283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96,239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80,400</w:t>
            </w:r>
          </w:p>
        </w:tc>
      </w:tr>
      <w:tr>
        <w:trPr>
          <w:trHeight w:val="218"/>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37,678</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107,908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86,024</w:t>
            </w:r>
          </w:p>
        </w:tc>
      </w:tr>
      <w:tr>
        <w:trPr>
          <w:trHeight w:val="214"/>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(1,078)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(2,664)</w:t>
            </w:r>
          </w:p>
        </w:tc>
      </w:tr>
      <w:tr>
        <w:trPr>
          <w:trHeight w:val="218"/>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 loss on foreign exchange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w:t>
            </w:r>
          </w:p>
        </w:tc>
      </w:tr>
      <w:tr>
        <w:trPr>
          <w:trHeight w:val="214"/>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Merger and acquisition expenses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3,760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10,983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12,711</w:t>
            </w:r>
          </w:p>
        </w:tc>
      </w:tr>
      <w:tr>
        <w:trPr>
          <w:trHeight w:val="218"/>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 net</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(1,805)</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(9,055)</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(9,254)</w:t>
            </w:r>
          </w:p>
        </w:tc>
      </w:tr>
      <w:tr>
        <w:trPr>
          <w:trHeight w:val="208"/>
        </w:trPr>
        <w:tc>
          <w:tcPr>
            <w:tcW w:w="52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expenses and other income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406,876</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361,228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1,210,797</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1,005,951</w:t>
            </w:r>
          </w:p>
        </w:tc>
      </w:tr>
      <w:tr>
        <w:trPr>
          <w:trHeight w:val="76"/>
        </w:trPr>
        <w:tc>
          <w:tcPr>
            <w:tcW w:w="52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r>
      <w:tr>
        <w:trPr>
          <w:trHeight w:val="214"/>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138,667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410,797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304,775</w:t>
            </w:r>
          </w:p>
        </w:tc>
      </w:tr>
      <w:tr>
        <w:trPr>
          <w:trHeight w:val="96"/>
        </w:trPr>
        <w:tc>
          <w:tcPr>
            <w:tcW w:w="5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r>
      <w:tr>
        <w:trPr>
          <w:trHeight w:val="214"/>
        </w:trPr>
        <w:tc>
          <w:tcPr>
            <w:tcW w:w="5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37,515</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29,672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108,476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78,572</w:t>
            </w:r>
          </w:p>
        </w:tc>
      </w:tr>
      <w:tr>
        <w:trPr>
          <w:trHeight w:val="76"/>
        </w:trPr>
        <w:tc>
          <w:tcPr>
            <w:tcW w:w="52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101,152</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82,807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302,321</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226,203</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2"/>
        </w:trPr>
        <w:tc>
          <w:tcPr>
            <w:tcW w:w="52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r>
      <w:tr>
        <w:trPr>
          <w:trHeight w:val="212"/>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2.33</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6.89</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r>
    </w:tbl>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income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comprehensive income (loss):</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Currency translation adjustment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Comprehensive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800"/>
        <w:spacing w:after="0"/>
        <w:rPr>
          <w:sz w:val="20"/>
          <w:szCs w:val="20"/>
          <w:color w:val="auto"/>
        </w:rPr>
      </w:pPr>
      <w:r>
        <w:rPr>
          <w:rFonts w:ascii="Times New Roman" w:cs="Times New Roman" w:eastAsia="Times New Roman" w:hAnsi="Times New Roman"/>
          <w:sz w:val="22"/>
          <w:szCs w:val="22"/>
          <w:b w:val="1"/>
          <w:bCs w:val="1"/>
          <w:color w:val="auto"/>
        </w:rPr>
        <w:t>FIRSTCASH HOLDINGS, INC.</w:t>
      </w:r>
    </w:p>
    <w:p>
      <w:pPr>
        <w:spacing w:after="0" w:line="33" w:lineRule="exact"/>
        <w:rPr>
          <w:sz w:val="20"/>
          <w:szCs w:val="20"/>
          <w:color w:val="auto"/>
        </w:rPr>
      </w:pPr>
    </w:p>
    <w:p>
      <w:pPr>
        <w:jc w:val="center"/>
        <w:ind w:right="28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4" w:lineRule="exact"/>
        <w:rPr>
          <w:sz w:val="20"/>
          <w:szCs w:val="20"/>
          <w:color w:val="auto"/>
        </w:rPr>
      </w:pPr>
    </w:p>
    <w:p>
      <w:pPr>
        <w:jc w:val="center"/>
        <w:ind w:right="2800"/>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79" w:lineRule="exact"/>
        <w:rPr>
          <w:sz w:val="20"/>
          <w:szCs w:val="20"/>
          <w:color w:val="auto"/>
        </w:rPr>
      </w:pPr>
    </w:p>
    <w:tbl>
      <w:tblPr>
        <w:tblLayout w:type="fixed"/>
        <w:tblInd w:w="2380" w:type="dxa"/>
        <w:tblCellMar>
          <w:top w:w="0" w:type="dxa"/>
          <w:left w:w="0" w:type="dxa"/>
          <w:bottom w:w="0" w:type="dxa"/>
          <w:right w:w="0" w:type="dxa"/>
        </w:tblCellMar>
      </w:tblPr>
      <w:tr>
        <w:trPr>
          <w:trHeight w:val="210"/>
        </w:trPr>
        <w:tc>
          <w:tcPr>
            <w:tcW w:w="320" w:type="dxa"/>
            <w:vAlign w:val="bottom"/>
          </w:tcPr>
          <w:p>
            <w:pPr>
              <w:spacing w:after="0"/>
              <w:rPr>
                <w:sz w:val="18"/>
                <w:szCs w:val="18"/>
                <w:color w:val="auto"/>
              </w:rPr>
            </w:pPr>
          </w:p>
        </w:tc>
        <w:tc>
          <w:tcPr>
            <w:tcW w:w="2740" w:type="dxa"/>
            <w:vAlign w:val="bottom"/>
            <w:gridSpan w:val="5"/>
          </w:tcPr>
          <w:p>
            <w:pPr>
              <w:ind w:left="480"/>
              <w:spacing w:after="0"/>
              <w:rPr>
                <w:sz w:val="20"/>
                <w:szCs w:val="20"/>
                <w:color w:val="auto"/>
              </w:rPr>
            </w:pPr>
            <w:r>
              <w:rPr>
                <w:rFonts w:ascii="Times New Roman" w:cs="Times New Roman" w:eastAsia="Times New Roman" w:hAnsi="Times New Roman"/>
                <w:sz w:val="16"/>
                <w:szCs w:val="16"/>
                <w:color w:val="auto"/>
              </w:rPr>
              <w:t>Three Months Ended</w:t>
            </w:r>
          </w:p>
        </w:tc>
        <w:tc>
          <w:tcPr>
            <w:tcW w:w="340" w:type="dxa"/>
            <w:vAlign w:val="bottom"/>
          </w:tcPr>
          <w:p>
            <w:pPr>
              <w:spacing w:after="0"/>
              <w:rPr>
                <w:sz w:val="18"/>
                <w:szCs w:val="18"/>
                <w:color w:val="auto"/>
              </w:rPr>
            </w:pPr>
          </w:p>
        </w:tc>
        <w:tc>
          <w:tcPr>
            <w:tcW w:w="2640" w:type="dxa"/>
            <w:vAlign w:val="bottom"/>
            <w:gridSpan w:val="4"/>
          </w:tcPr>
          <w:p>
            <w:pPr>
              <w:ind w:left="500"/>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19"/>
        </w:trPr>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September 30,</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6"/>
                <w:szCs w:val="16"/>
                <w:color w:val="auto"/>
              </w:rPr>
              <w:t>September 30,</w:t>
            </w:r>
          </w:p>
        </w:tc>
        <w:tc>
          <w:tcPr>
            <w:tcW w:w="940" w:type="dxa"/>
            <w:vAlign w:val="bottom"/>
            <w:tcBorders>
              <w:bottom w:val="single" w:sz="8" w:color="auto"/>
            </w:tcBorders>
          </w:tcPr>
          <w:p>
            <w:pPr>
              <w:spacing w:after="0"/>
              <w:rPr>
                <w:sz w:val="19"/>
                <w:szCs w:val="19"/>
                <w:color w:val="auto"/>
              </w:rPr>
            </w:pPr>
          </w:p>
        </w:tc>
      </w:tr>
      <w:tr>
        <w:trPr>
          <w:trHeight w:val="211"/>
        </w:trPr>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2025</w:t>
            </w:r>
          </w:p>
        </w:tc>
      </w:tr>
      <w:tr>
        <w:trPr>
          <w:trHeight w:val="208"/>
        </w:trPr>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101,152</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82,807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Pr>
          <w:p>
            <w:pPr>
              <w:ind w:left="500"/>
              <w:spacing w:after="0"/>
              <w:rPr>
                <w:sz w:val="20"/>
                <w:szCs w:val="20"/>
                <w:color w:val="auto"/>
              </w:rPr>
            </w:pPr>
            <w:r>
              <w:rPr>
                <w:rFonts w:ascii="Times New Roman" w:cs="Times New Roman" w:eastAsia="Times New Roman" w:hAnsi="Times New Roman"/>
                <w:sz w:val="16"/>
                <w:szCs w:val="16"/>
                <w:b w:val="1"/>
                <w:bCs w:val="1"/>
                <w:color w:val="auto"/>
              </w:rPr>
              <w:t>302,321</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226,203</w:t>
            </w:r>
          </w:p>
        </w:tc>
      </w:tr>
      <w:tr>
        <w:trPr>
          <w:trHeight w:val="433"/>
        </w:trPr>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(12,144)</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19,501</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(3,055)</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52,830</w:t>
            </w:r>
          </w:p>
        </w:tc>
      </w:tr>
      <w:tr>
        <w:trPr>
          <w:trHeight w:val="211"/>
        </w:trPr>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89,008</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102,308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299,266</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279,033</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-599440</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-316230</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227330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360" w:space="440"/>
            <w:col w:w="8420"/>
          </w:cols>
          <w:pgMar w:left="340" w:top="162" w:right="339"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FIRSTCASH HOLDINGS,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thousands, except per share amounts)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tcPr>
          <w:p>
            <w:pPr>
              <w:jc w:val="center"/>
              <w:ind w:right="300"/>
              <w:spacing w:after="0" w:line="161" w:lineRule="exact"/>
              <w:rPr>
                <w:sz w:val="20"/>
                <w:szCs w:val="20"/>
                <w:color w:val="auto"/>
              </w:rPr>
            </w:pPr>
            <w:r>
              <w:rPr>
                <w:rFonts w:ascii="Times New Roman" w:cs="Times New Roman" w:eastAsia="Times New Roman" w:hAnsi="Times New Roman"/>
                <w:sz w:val="16"/>
                <w:szCs w:val="16"/>
                <w:color w:val="auto"/>
              </w:rPr>
              <w:t>Accum-</w:t>
            </w:r>
          </w:p>
        </w:tc>
        <w:tc>
          <w:tcPr>
            <w:tcW w:w="1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color w:val="auto"/>
              </w:rPr>
              <w:t>ulated</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color w:val="auto"/>
              </w:rPr>
              <w:t>Additional</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color w:val="auto"/>
              </w:rPr>
              <w:t>Other</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2160" w:type="dxa"/>
            <w:vAlign w:val="bottom"/>
            <w:gridSpan w:val="6"/>
            <w:vMerge w:val="restart"/>
          </w:tcPr>
          <w:p>
            <w:pPr>
              <w:jc w:val="center"/>
              <w:ind w:right="120"/>
              <w:spacing w:after="0"/>
              <w:rPr>
                <w:sz w:val="20"/>
                <w:szCs w:val="20"/>
                <w:color w:val="auto"/>
              </w:rPr>
            </w:pPr>
            <w:r>
              <w:rPr>
                <w:rFonts w:ascii="Times New Roman" w:cs="Times New Roman" w:eastAsia="Times New Roman" w:hAnsi="Times New Roman"/>
                <w:sz w:val="16"/>
                <w:szCs w:val="16"/>
                <w:color w:val="auto"/>
              </w:rPr>
              <w:t>Common</w:t>
            </w: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Retained</w:t>
            </w:r>
          </w:p>
        </w:tc>
        <w:tc>
          <w:tcPr>
            <w:tcW w:w="180" w:type="dxa"/>
            <w:vAlign w:val="bottom"/>
          </w:tcPr>
          <w:p>
            <w:pPr>
              <w:spacing w:after="0"/>
              <w:rPr>
                <w:sz w:val="14"/>
                <w:szCs w:val="14"/>
                <w:color w:val="auto"/>
              </w:rPr>
            </w:pPr>
          </w:p>
        </w:tc>
        <w:tc>
          <w:tcPr>
            <w:tcW w:w="10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color w:val="auto"/>
              </w:rPr>
              <w:t>Compre-</w:t>
            </w:r>
          </w:p>
        </w:tc>
        <w:tc>
          <w:tcPr>
            <w:tcW w:w="244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Common Stock</w:t>
            </w:r>
          </w:p>
        </w:tc>
        <w:tc>
          <w:tcPr>
            <w:tcW w:w="180" w:type="dxa"/>
            <w:vAlign w:val="bottom"/>
          </w:tcPr>
          <w:p>
            <w:pPr>
              <w:spacing w:after="0"/>
              <w:rPr>
                <w:sz w:val="14"/>
                <w:szCs w:val="14"/>
                <w:color w:val="auto"/>
              </w:rPr>
            </w:pPr>
          </w:p>
        </w:tc>
        <w:tc>
          <w:tcPr>
            <w:tcW w:w="92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color w:val="auto"/>
              </w:rPr>
              <w:t>Stock-</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2160" w:type="dxa"/>
            <w:vAlign w:val="bottom"/>
            <w:gridSpan w:val="6"/>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color w:val="auto"/>
              </w:rPr>
              <w:t>Paid-In</w:t>
            </w:r>
          </w:p>
        </w:tc>
        <w:tc>
          <w:tcPr>
            <w:tcW w:w="1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color w:val="auto"/>
              </w:rPr>
              <w:t>hensive</w:t>
            </w:r>
          </w:p>
        </w:tc>
        <w:tc>
          <w:tcPr>
            <w:tcW w:w="244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color w:val="auto"/>
              </w:rPr>
              <w:t>holders’</w:t>
            </w:r>
          </w:p>
        </w:tc>
        <w:tc>
          <w:tcPr>
            <w:tcW w:w="0" w:type="dxa"/>
            <w:vAlign w:val="bottom"/>
          </w:tcPr>
          <w:p>
            <w:pPr>
              <w:spacing w:after="0"/>
              <w:rPr>
                <w:sz w:val="1"/>
                <w:szCs w:val="1"/>
                <w:color w:val="auto"/>
              </w:rPr>
            </w:pPr>
          </w:p>
        </w:tc>
      </w:tr>
      <w:tr>
        <w:trPr>
          <w:trHeight w:val="213"/>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8"/>
              </w:rPr>
              <w:t>Stock</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Capital</w:t>
            </w: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Earnings</w:t>
            </w:r>
          </w:p>
        </w:tc>
        <w:tc>
          <w:tcPr>
            <w:tcW w:w="18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9"/>
              </w:rPr>
              <w:t>Loss</w:t>
            </w:r>
          </w:p>
        </w:tc>
        <w:tc>
          <w:tcPr>
            <w:tcW w:w="244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color w:val="auto"/>
                <w:w w:val="99"/>
              </w:rPr>
              <w:t>Held in Treasury</w:t>
            </w:r>
          </w:p>
        </w:tc>
        <w:tc>
          <w:tcPr>
            <w:tcW w:w="180" w:type="dxa"/>
            <w:vAlign w:val="bottom"/>
          </w:tcPr>
          <w:p>
            <w:pPr>
              <w:spacing w:after="0"/>
              <w:rPr>
                <w:sz w:val="18"/>
                <w:szCs w:val="18"/>
                <w:color w:val="auto"/>
              </w:rPr>
            </w:pPr>
          </w:p>
        </w:tc>
        <w:tc>
          <w:tcPr>
            <w:tcW w:w="92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8"/>
              </w:rPr>
              <w:t>Equity</w:t>
            </w:r>
          </w:p>
        </w:tc>
        <w:tc>
          <w:tcPr>
            <w:tcW w:w="0" w:type="dxa"/>
            <w:vAlign w:val="bottom"/>
          </w:tcPr>
          <w:p>
            <w:pPr>
              <w:spacing w:after="0"/>
              <w:rPr>
                <w:sz w:val="1"/>
                <w:szCs w:val="1"/>
                <w:color w:val="auto"/>
              </w:rPr>
            </w:pPr>
          </w:p>
        </w:tc>
      </w:tr>
      <w:tr>
        <w:trPr>
          <w:trHeight w:val="210"/>
        </w:trPr>
        <w:tc>
          <w:tcPr>
            <w:tcW w:w="1880" w:type="dxa"/>
            <w:vAlign w:val="bottom"/>
          </w:tcPr>
          <w:p>
            <w:pPr>
              <w:spacing w:after="0"/>
              <w:rPr>
                <w:sz w:val="18"/>
                <w:szCs w:val="18"/>
                <w:color w:val="auto"/>
              </w:rPr>
            </w:pPr>
          </w:p>
        </w:tc>
        <w:tc>
          <w:tcPr>
            <w:tcW w:w="80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Shares</w:t>
            </w: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Amount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6"/>
                <w:szCs w:val="16"/>
                <w:color w:val="auto"/>
              </w:rPr>
              <w:t>Shares</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Amount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 of 12/31/2025</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57,547</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1,771,379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1,670,583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(64,835)</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(1,100,940)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2,276,762</w:t>
            </w:r>
          </w:p>
        </w:tc>
        <w:tc>
          <w:tcPr>
            <w:tcW w:w="0" w:type="dxa"/>
            <w:vAlign w:val="bottom"/>
          </w:tcPr>
          <w:p>
            <w:pPr>
              <w:spacing w:after="0"/>
              <w:rPr>
                <w:sz w:val="1"/>
                <w:szCs w:val="1"/>
                <w:color w:val="auto"/>
              </w:rPr>
            </w:pPr>
          </w:p>
        </w:tc>
      </w:tr>
      <w:tr>
        <w:trPr>
          <w:trHeight w:val="162"/>
        </w:trPr>
        <w:tc>
          <w:tcPr>
            <w:tcW w:w="18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Shares issued under share-</w:t>
            </w: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8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based compensation plan,</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(20,998)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9,758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(11,240)</w:t>
            </w:r>
          </w:p>
        </w:tc>
        <w:tc>
          <w:tcPr>
            <w:tcW w:w="0" w:type="dxa"/>
            <w:vAlign w:val="bottom"/>
          </w:tcPr>
          <w:p>
            <w:pPr>
              <w:spacing w:after="0"/>
              <w:rPr>
                <w:sz w:val="1"/>
                <w:szCs w:val="1"/>
                <w:color w:val="auto"/>
              </w:rPr>
            </w:pPr>
          </w:p>
        </w:tc>
      </w:tr>
      <w:tr>
        <w:trPr>
          <w:trHeight w:val="213"/>
        </w:trPr>
        <w:tc>
          <w:tcPr>
            <w:tcW w:w="1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of 67 shares net-settled</w:t>
            </w:r>
          </w:p>
        </w:tc>
        <w:tc>
          <w:tcPr>
            <w:tcW w:w="8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8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Share-based compensation</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5,375</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expense</w:t>
            </w:r>
          </w:p>
        </w:tc>
        <w:tc>
          <w:tcPr>
            <w:tcW w:w="80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107,702</w:t>
            </w:r>
          </w:p>
        </w:tc>
        <w:tc>
          <w:tcPr>
            <w:tcW w:w="0" w:type="dxa"/>
            <w:vAlign w:val="bottom"/>
          </w:tcPr>
          <w:p>
            <w:pPr>
              <w:spacing w:after="0"/>
              <w:rPr>
                <w:sz w:val="1"/>
                <w:szCs w:val="1"/>
                <w:color w:val="auto"/>
              </w:rPr>
            </w:pPr>
          </w:p>
        </w:tc>
      </w:tr>
      <w:tr>
        <w:trPr>
          <w:trHeight w:val="165"/>
        </w:trPr>
        <w:tc>
          <w:tcPr>
            <w:tcW w:w="18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Cash dividends ($0.42 per</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(18,455)</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w:t>
            </w:r>
          </w:p>
        </w:tc>
        <w:tc>
          <w:tcPr>
            <w:tcW w:w="80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8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Currency translation</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(11,564)</w:t>
            </w:r>
          </w:p>
        </w:tc>
        <w:tc>
          <w:tcPr>
            <w:tcW w:w="100" w:type="dxa"/>
            <w:vAlign w:val="bottom"/>
          </w:tcPr>
          <w:p>
            <w:pPr>
              <w:spacing w:after="0"/>
              <w:rPr>
                <w:sz w:val="14"/>
                <w:szCs w:val="14"/>
                <w:color w:val="auto"/>
              </w:rPr>
            </w:pP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(11,564)</w:t>
            </w:r>
          </w:p>
        </w:tc>
        <w:tc>
          <w:tcPr>
            <w:tcW w:w="0" w:type="dxa"/>
            <w:vAlign w:val="bottom"/>
          </w:tcPr>
          <w:p>
            <w:pPr>
              <w:spacing w:after="0"/>
              <w:rPr>
                <w:sz w:val="1"/>
                <w:szCs w:val="1"/>
                <w:color w:val="auto"/>
              </w:rPr>
            </w:pPr>
          </w:p>
        </w:tc>
      </w:tr>
      <w:tr>
        <w:trPr>
          <w:trHeight w:val="213"/>
        </w:trPr>
        <w:tc>
          <w:tcPr>
            <w:tcW w:w="1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adjustment</w:t>
            </w:r>
          </w:p>
        </w:tc>
        <w:tc>
          <w:tcPr>
            <w:tcW w:w="8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8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Purchases of treasury stock,</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(50,500)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(50,500)</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including excise tax</w:t>
            </w:r>
          </w:p>
        </w:tc>
        <w:tc>
          <w:tcPr>
            <w:tcW w:w="80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As of 3/31/2026</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57,547</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1,755,756</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1,759,830</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(76,399)</w:t>
            </w:r>
          </w:p>
        </w:tc>
        <w:tc>
          <w:tcPr>
            <w:tcW w:w="10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13,711</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(1,141,682)</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2,298,080</w:t>
            </w:r>
          </w:p>
        </w:tc>
        <w:tc>
          <w:tcPr>
            <w:tcW w:w="0" w:type="dxa"/>
            <w:vAlign w:val="bottom"/>
          </w:tcPr>
          <w:p>
            <w:pPr>
              <w:spacing w:after="0"/>
              <w:rPr>
                <w:sz w:val="1"/>
                <w:szCs w:val="1"/>
                <w:color w:val="auto"/>
              </w:rPr>
            </w:pPr>
          </w:p>
        </w:tc>
      </w:tr>
      <w:tr>
        <w:trPr>
          <w:trHeight w:val="145"/>
        </w:trPr>
        <w:tc>
          <w:tcPr>
            <w:tcW w:w="18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Share-based compensation</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5,375</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expense</w:t>
            </w:r>
          </w:p>
        </w:tc>
        <w:tc>
          <w:tcPr>
            <w:tcW w:w="80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93,467</w:t>
            </w:r>
          </w:p>
        </w:tc>
        <w:tc>
          <w:tcPr>
            <w:tcW w:w="0" w:type="dxa"/>
            <w:vAlign w:val="bottom"/>
          </w:tcPr>
          <w:p>
            <w:pPr>
              <w:spacing w:after="0"/>
              <w:rPr>
                <w:sz w:val="1"/>
                <w:szCs w:val="1"/>
                <w:color w:val="auto"/>
              </w:rPr>
            </w:pPr>
          </w:p>
        </w:tc>
      </w:tr>
      <w:tr>
        <w:trPr>
          <w:trHeight w:val="165"/>
        </w:trPr>
        <w:tc>
          <w:tcPr>
            <w:tcW w:w="18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Cash dividends ($0.42 per</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(18,411)</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w:t>
            </w:r>
          </w:p>
        </w:tc>
        <w:tc>
          <w:tcPr>
            <w:tcW w:w="80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8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Currency translation</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20,653</w:t>
            </w:r>
          </w:p>
        </w:tc>
        <w:tc>
          <w:tcPr>
            <w:tcW w:w="100" w:type="dxa"/>
            <w:vAlign w:val="bottom"/>
          </w:tcPr>
          <w:p>
            <w:pPr>
              <w:spacing w:after="0"/>
              <w:rPr>
                <w:sz w:val="14"/>
                <w:szCs w:val="14"/>
                <w:color w:val="auto"/>
              </w:rPr>
            </w:pP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20,653</w:t>
            </w:r>
          </w:p>
        </w:tc>
        <w:tc>
          <w:tcPr>
            <w:tcW w:w="0" w:type="dxa"/>
            <w:vAlign w:val="bottom"/>
          </w:tcPr>
          <w:p>
            <w:pPr>
              <w:spacing w:after="0"/>
              <w:rPr>
                <w:sz w:val="1"/>
                <w:szCs w:val="1"/>
                <w:color w:val="auto"/>
              </w:rPr>
            </w:pPr>
          </w:p>
        </w:tc>
      </w:tr>
      <w:tr>
        <w:trPr>
          <w:trHeight w:val="213"/>
        </w:trPr>
        <w:tc>
          <w:tcPr>
            <w:tcW w:w="1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adjustment</w:t>
            </w:r>
          </w:p>
        </w:tc>
        <w:tc>
          <w:tcPr>
            <w:tcW w:w="8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8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Purchases of treasury stock,</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(77,372)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(77,372)</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including excise tax</w:t>
            </w:r>
          </w:p>
        </w:tc>
        <w:tc>
          <w:tcPr>
            <w:tcW w:w="80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As of 6/30/2026</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57,547</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1,761,131</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1,834,886</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(55,746)</w:t>
            </w:r>
          </w:p>
        </w:tc>
        <w:tc>
          <w:tcPr>
            <w:tcW w:w="10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14,068</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(1,219,054)</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2,321,792</w:t>
            </w:r>
          </w:p>
        </w:tc>
        <w:tc>
          <w:tcPr>
            <w:tcW w:w="0" w:type="dxa"/>
            <w:vAlign w:val="bottom"/>
          </w:tcPr>
          <w:p>
            <w:pPr>
              <w:spacing w:after="0"/>
              <w:rPr>
                <w:sz w:val="1"/>
                <w:szCs w:val="1"/>
                <w:color w:val="auto"/>
              </w:rPr>
            </w:pPr>
          </w:p>
        </w:tc>
      </w:tr>
      <w:tr>
        <w:trPr>
          <w:trHeight w:val="145"/>
        </w:trPr>
        <w:tc>
          <w:tcPr>
            <w:tcW w:w="18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Share-based compensation</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5,375</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expense</w:t>
            </w:r>
          </w:p>
        </w:tc>
        <w:tc>
          <w:tcPr>
            <w:tcW w:w="80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101,152</w:t>
            </w:r>
          </w:p>
        </w:tc>
        <w:tc>
          <w:tcPr>
            <w:tcW w:w="0" w:type="dxa"/>
            <w:vAlign w:val="bottom"/>
          </w:tcPr>
          <w:p>
            <w:pPr>
              <w:spacing w:after="0"/>
              <w:rPr>
                <w:sz w:val="1"/>
                <w:szCs w:val="1"/>
                <w:color w:val="auto"/>
              </w:rPr>
            </w:pPr>
          </w:p>
        </w:tc>
      </w:tr>
      <w:tr>
        <w:trPr>
          <w:trHeight w:val="165"/>
        </w:trPr>
        <w:tc>
          <w:tcPr>
            <w:tcW w:w="18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Cash dividends ($0.42 per</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(18,216)</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w:t>
            </w:r>
          </w:p>
        </w:tc>
        <w:tc>
          <w:tcPr>
            <w:tcW w:w="80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8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Currency translation</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(12,144)</w:t>
            </w:r>
          </w:p>
        </w:tc>
        <w:tc>
          <w:tcPr>
            <w:tcW w:w="100" w:type="dxa"/>
            <w:vAlign w:val="bottom"/>
          </w:tcPr>
          <w:p>
            <w:pPr>
              <w:spacing w:after="0"/>
              <w:rPr>
                <w:sz w:val="14"/>
                <w:szCs w:val="14"/>
                <w:color w:val="auto"/>
              </w:rPr>
            </w:pP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(12,144)</w:t>
            </w:r>
          </w:p>
        </w:tc>
        <w:tc>
          <w:tcPr>
            <w:tcW w:w="0" w:type="dxa"/>
            <w:vAlign w:val="bottom"/>
          </w:tcPr>
          <w:p>
            <w:pPr>
              <w:spacing w:after="0"/>
              <w:rPr>
                <w:sz w:val="1"/>
                <w:szCs w:val="1"/>
                <w:color w:val="auto"/>
              </w:rPr>
            </w:pPr>
          </w:p>
        </w:tc>
      </w:tr>
      <w:tr>
        <w:trPr>
          <w:trHeight w:val="213"/>
        </w:trPr>
        <w:tc>
          <w:tcPr>
            <w:tcW w:w="1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adjustment</w:t>
            </w:r>
          </w:p>
        </w:tc>
        <w:tc>
          <w:tcPr>
            <w:tcW w:w="8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8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Purchases of treasury stock,</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(124,628)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(124,628)</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including excise tax</w:t>
            </w:r>
          </w:p>
        </w:tc>
        <w:tc>
          <w:tcPr>
            <w:tcW w:w="80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of 9/30/2026</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57,547</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575</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1,766,506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1,917,822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(67,890)</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14,660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(1,343,682)</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2,273,331</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62" w:right="379"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FIRSTCASH HOLDINGS,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thousands, except per share amounts)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Nine Months Ended September 30, 2025</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tcPr>
          <w:p>
            <w:pPr>
              <w:jc w:val="center"/>
              <w:ind w:right="300"/>
              <w:spacing w:after="0" w:line="161" w:lineRule="exact"/>
              <w:rPr>
                <w:sz w:val="20"/>
                <w:szCs w:val="20"/>
                <w:color w:val="auto"/>
              </w:rPr>
            </w:pPr>
            <w:r>
              <w:rPr>
                <w:rFonts w:ascii="Times New Roman" w:cs="Times New Roman" w:eastAsia="Times New Roman" w:hAnsi="Times New Roman"/>
                <w:sz w:val="16"/>
                <w:szCs w:val="16"/>
                <w:color w:val="auto"/>
              </w:rPr>
              <w:t>Accum-</w:t>
            </w:r>
          </w:p>
        </w:tc>
        <w:tc>
          <w:tcPr>
            <w:tcW w:w="1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color w:val="auto"/>
              </w:rPr>
              <w:t>ulated</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color w:val="auto"/>
                <w:w w:val="94"/>
              </w:rPr>
              <w:t>Total</w:t>
            </w: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color w:val="auto"/>
                <w:w w:val="99"/>
              </w:rPr>
              <w:t>Additional</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color w:val="auto"/>
              </w:rPr>
              <w:t>Other</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216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Common</w:t>
            </w: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Retained</w:t>
            </w:r>
          </w:p>
        </w:tc>
        <w:tc>
          <w:tcPr>
            <w:tcW w:w="180" w:type="dxa"/>
            <w:vAlign w:val="bottom"/>
          </w:tcPr>
          <w:p>
            <w:pPr>
              <w:spacing w:after="0"/>
              <w:rPr>
                <w:sz w:val="14"/>
                <w:szCs w:val="14"/>
                <w:color w:val="auto"/>
              </w:rPr>
            </w:pPr>
          </w:p>
        </w:tc>
        <w:tc>
          <w:tcPr>
            <w:tcW w:w="10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color w:val="auto"/>
              </w:rPr>
              <w:t>Compre-</w:t>
            </w:r>
          </w:p>
        </w:tc>
        <w:tc>
          <w:tcPr>
            <w:tcW w:w="242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w w:val="99"/>
              </w:rPr>
              <w:t>Common Stock</w:t>
            </w:r>
          </w:p>
        </w:tc>
        <w:tc>
          <w:tcPr>
            <w:tcW w:w="200" w:type="dxa"/>
            <w:vAlign w:val="bottom"/>
          </w:tcPr>
          <w:p>
            <w:pPr>
              <w:spacing w:after="0"/>
              <w:rPr>
                <w:sz w:val="14"/>
                <w:szCs w:val="14"/>
                <w:color w:val="auto"/>
              </w:rPr>
            </w:pPr>
          </w:p>
        </w:tc>
        <w:tc>
          <w:tcPr>
            <w:tcW w:w="92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color w:val="auto"/>
              </w:rPr>
              <w:t>Stock-</w:t>
            </w: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2160" w:type="dxa"/>
            <w:vAlign w:val="bottom"/>
            <w:gridSpan w:val="6"/>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color w:val="auto"/>
              </w:rPr>
              <w:t>Paid-In</w:t>
            </w:r>
          </w:p>
        </w:tc>
        <w:tc>
          <w:tcPr>
            <w:tcW w:w="1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color w:val="auto"/>
              </w:rPr>
              <w:t>hensive</w:t>
            </w:r>
          </w:p>
        </w:tc>
        <w:tc>
          <w:tcPr>
            <w:tcW w:w="242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color w:val="auto"/>
                <w:w w:val="99"/>
              </w:rPr>
              <w:t>holders’</w:t>
            </w:r>
          </w:p>
        </w:tc>
        <w:tc>
          <w:tcPr>
            <w:tcW w:w="0" w:type="dxa"/>
            <w:vAlign w:val="bottom"/>
          </w:tcPr>
          <w:p>
            <w:pPr>
              <w:spacing w:after="0"/>
              <w:rPr>
                <w:sz w:val="1"/>
                <w:szCs w:val="1"/>
                <w:color w:val="auto"/>
              </w:rPr>
            </w:pPr>
          </w:p>
        </w:tc>
      </w:tr>
      <w:tr>
        <w:trPr>
          <w:trHeight w:val="213"/>
        </w:trPr>
        <w:tc>
          <w:tcPr>
            <w:tcW w:w="1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Stock</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Capital</w:t>
            </w:r>
          </w:p>
        </w:tc>
        <w:tc>
          <w:tcPr>
            <w:tcW w:w="18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Earnings</w:t>
            </w:r>
          </w:p>
        </w:tc>
        <w:tc>
          <w:tcPr>
            <w:tcW w:w="18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9"/>
              </w:rPr>
              <w:t>Loss</w:t>
            </w:r>
          </w:p>
        </w:tc>
        <w:tc>
          <w:tcPr>
            <w:tcW w:w="242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color w:val="auto"/>
                <w:w w:val="99"/>
              </w:rPr>
              <w:t>Held in Treasury</w:t>
            </w:r>
          </w:p>
        </w:tc>
        <w:tc>
          <w:tcPr>
            <w:tcW w:w="200" w:type="dxa"/>
            <w:vAlign w:val="bottom"/>
          </w:tcPr>
          <w:p>
            <w:pPr>
              <w:spacing w:after="0"/>
              <w:rPr>
                <w:sz w:val="18"/>
                <w:szCs w:val="18"/>
                <w:color w:val="auto"/>
              </w:rPr>
            </w:pPr>
          </w:p>
        </w:tc>
        <w:tc>
          <w:tcPr>
            <w:tcW w:w="9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Equity</w:t>
            </w:r>
          </w:p>
        </w:tc>
        <w:tc>
          <w:tcPr>
            <w:tcW w:w="0" w:type="dxa"/>
            <w:vAlign w:val="bottom"/>
          </w:tcPr>
          <w:p>
            <w:pPr>
              <w:spacing w:after="0"/>
              <w:rPr>
                <w:sz w:val="1"/>
                <w:szCs w:val="1"/>
                <w:color w:val="auto"/>
              </w:rPr>
            </w:pPr>
          </w:p>
        </w:tc>
      </w:tr>
      <w:tr>
        <w:trPr>
          <w:trHeight w:val="209"/>
        </w:trPr>
        <w:tc>
          <w:tcPr>
            <w:tcW w:w="1840" w:type="dxa"/>
            <w:vAlign w:val="bottom"/>
          </w:tcPr>
          <w:p>
            <w:pPr>
              <w:spacing w:after="0"/>
              <w:rPr>
                <w:sz w:val="18"/>
                <w:szCs w:val="18"/>
                <w:color w:val="auto"/>
              </w:rPr>
            </w:pPr>
          </w:p>
        </w:tc>
        <w:tc>
          <w:tcPr>
            <w:tcW w:w="8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Shares</w:t>
            </w: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Amount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6"/>
                <w:szCs w:val="16"/>
                <w:color w:val="auto"/>
              </w:rPr>
              <w:t>Shares</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Amount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 of 12/31/2024</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57,547</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1,767,569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1,411,083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(129,596)</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(995,467)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2,054,164</w:t>
            </w:r>
          </w:p>
        </w:tc>
        <w:tc>
          <w:tcPr>
            <w:tcW w:w="0" w:type="dxa"/>
            <w:vAlign w:val="bottom"/>
          </w:tcPr>
          <w:p>
            <w:pPr>
              <w:spacing w:after="0"/>
              <w:rPr>
                <w:sz w:val="1"/>
                <w:szCs w:val="1"/>
                <w:color w:val="auto"/>
              </w:rPr>
            </w:pPr>
          </w:p>
        </w:tc>
      </w:tr>
      <w:tr>
        <w:trPr>
          <w:trHeight w:val="162"/>
        </w:trPr>
        <w:tc>
          <w:tcPr>
            <w:tcW w:w="18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Shares issued under share-</w:t>
            </w: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based compensation plan,</w:t>
            </w: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net of 52 shares net-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(16,440)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10,676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(5,764)</w:t>
            </w:r>
          </w:p>
        </w:tc>
        <w:tc>
          <w:tcPr>
            <w:tcW w:w="0" w:type="dxa"/>
            <w:vAlign w:val="bottom"/>
          </w:tcPr>
          <w:p>
            <w:pPr>
              <w:spacing w:after="0"/>
              <w:rPr>
                <w:sz w:val="1"/>
                <w:szCs w:val="1"/>
                <w:color w:val="auto"/>
              </w:rPr>
            </w:pPr>
          </w:p>
        </w:tc>
      </w:tr>
      <w:tr>
        <w:trPr>
          <w:trHeight w:val="213"/>
        </w:trPr>
        <w:tc>
          <w:tcPr>
            <w:tcW w:w="1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settled</w:t>
            </w:r>
          </w:p>
        </w:tc>
        <w:tc>
          <w:tcPr>
            <w:tcW w:w="8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8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Share-based compensation</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4,462</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expense</w:t>
            </w:r>
          </w:p>
        </w:tc>
        <w:tc>
          <w:tcPr>
            <w:tcW w:w="82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83,591</w:t>
            </w:r>
          </w:p>
        </w:tc>
        <w:tc>
          <w:tcPr>
            <w:tcW w:w="0" w:type="dxa"/>
            <w:vAlign w:val="bottom"/>
          </w:tcPr>
          <w:p>
            <w:pPr>
              <w:spacing w:after="0"/>
              <w:rPr>
                <w:sz w:val="1"/>
                <w:szCs w:val="1"/>
                <w:color w:val="auto"/>
              </w:rPr>
            </w:pPr>
          </w:p>
        </w:tc>
      </w:tr>
      <w:tr>
        <w:trPr>
          <w:trHeight w:val="165"/>
        </w:trPr>
        <w:tc>
          <w:tcPr>
            <w:tcW w:w="18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Cash dividends ($0.38 per</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(16,944)</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(16,944)</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w:t>
            </w:r>
          </w:p>
        </w:tc>
        <w:tc>
          <w:tcPr>
            <w:tcW w:w="82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8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Currency translation</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10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0" w:type="dxa"/>
            <w:vAlign w:val="bottom"/>
          </w:tcPr>
          <w:p>
            <w:pPr>
              <w:spacing w:after="0"/>
              <w:rPr>
                <w:sz w:val="1"/>
                <w:szCs w:val="1"/>
                <w:color w:val="auto"/>
              </w:rPr>
            </w:pPr>
          </w:p>
        </w:tc>
      </w:tr>
      <w:tr>
        <w:trPr>
          <w:trHeight w:val="213"/>
        </w:trPr>
        <w:tc>
          <w:tcPr>
            <w:tcW w:w="1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adjustment</w:t>
            </w:r>
          </w:p>
        </w:tc>
        <w:tc>
          <w:tcPr>
            <w:tcW w:w="8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8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Purchases of treasury</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(60,205)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(60,205)</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 including excise tax</w:t>
            </w:r>
          </w:p>
        </w:tc>
        <w:tc>
          <w:tcPr>
            <w:tcW w:w="82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As of 3/31/2025</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57,547</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1,755,591</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1,477,730</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(130,540)</w:t>
            </w:r>
          </w:p>
        </w:tc>
        <w:tc>
          <w:tcPr>
            <w:tcW w:w="10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13,183</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(1,044,996)</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2,058,360</w:t>
            </w:r>
          </w:p>
        </w:tc>
        <w:tc>
          <w:tcPr>
            <w:tcW w:w="0" w:type="dxa"/>
            <w:vAlign w:val="bottom"/>
          </w:tcPr>
          <w:p>
            <w:pPr>
              <w:spacing w:after="0"/>
              <w:rPr>
                <w:sz w:val="1"/>
                <w:szCs w:val="1"/>
                <w:color w:val="auto"/>
              </w:rPr>
            </w:pPr>
          </w:p>
        </w:tc>
      </w:tr>
      <w:tr>
        <w:trPr>
          <w:trHeight w:val="145"/>
        </w:trPr>
        <w:tc>
          <w:tcPr>
            <w:tcW w:w="18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Share-based compensation</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4,588</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expense</w:t>
            </w:r>
          </w:p>
        </w:tc>
        <w:tc>
          <w:tcPr>
            <w:tcW w:w="82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59,805</w:t>
            </w:r>
          </w:p>
        </w:tc>
        <w:tc>
          <w:tcPr>
            <w:tcW w:w="0" w:type="dxa"/>
            <w:vAlign w:val="bottom"/>
          </w:tcPr>
          <w:p>
            <w:pPr>
              <w:spacing w:after="0"/>
              <w:rPr>
                <w:sz w:val="1"/>
                <w:szCs w:val="1"/>
                <w:color w:val="auto"/>
              </w:rPr>
            </w:pPr>
          </w:p>
        </w:tc>
      </w:tr>
      <w:tr>
        <w:trPr>
          <w:trHeight w:val="165"/>
        </w:trPr>
        <w:tc>
          <w:tcPr>
            <w:tcW w:w="18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Cash dividends ($0.38 per</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(16,858)</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w:t>
            </w:r>
          </w:p>
        </w:tc>
        <w:tc>
          <w:tcPr>
            <w:tcW w:w="82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8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Currency translation</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34,273</w:t>
            </w:r>
          </w:p>
        </w:tc>
        <w:tc>
          <w:tcPr>
            <w:tcW w:w="10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34,273</w:t>
            </w:r>
          </w:p>
        </w:tc>
        <w:tc>
          <w:tcPr>
            <w:tcW w:w="0" w:type="dxa"/>
            <w:vAlign w:val="bottom"/>
          </w:tcPr>
          <w:p>
            <w:pPr>
              <w:spacing w:after="0"/>
              <w:rPr>
                <w:sz w:val="1"/>
                <w:szCs w:val="1"/>
                <w:color w:val="auto"/>
              </w:rPr>
            </w:pPr>
          </w:p>
        </w:tc>
      </w:tr>
      <w:tr>
        <w:trPr>
          <w:trHeight w:val="213"/>
        </w:trPr>
        <w:tc>
          <w:tcPr>
            <w:tcW w:w="1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adjustment</w:t>
            </w:r>
          </w:p>
        </w:tc>
        <w:tc>
          <w:tcPr>
            <w:tcW w:w="8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 of 6/30/2025</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57,547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1,760,179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1,520,677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(96,267)</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(1,044,996)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2,140,168</w:t>
            </w:r>
          </w:p>
        </w:tc>
        <w:tc>
          <w:tcPr>
            <w:tcW w:w="0" w:type="dxa"/>
            <w:vAlign w:val="bottom"/>
          </w:tcPr>
          <w:p>
            <w:pPr>
              <w:spacing w:after="0"/>
              <w:rPr>
                <w:sz w:val="1"/>
                <w:szCs w:val="1"/>
                <w:color w:val="auto"/>
              </w:rPr>
            </w:pPr>
          </w:p>
        </w:tc>
      </w:tr>
      <w:tr>
        <w:trPr>
          <w:trHeight w:val="142"/>
        </w:trPr>
        <w:tc>
          <w:tcPr>
            <w:tcW w:w="184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Share-based compensation</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6,103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6,103</w:t>
            </w:r>
          </w:p>
        </w:tc>
        <w:tc>
          <w:tcPr>
            <w:tcW w:w="0" w:type="dxa"/>
            <w:vAlign w:val="bottom"/>
          </w:tcPr>
          <w:p>
            <w:pPr>
              <w:spacing w:after="0"/>
              <w:rPr>
                <w:sz w:val="1"/>
                <w:szCs w:val="1"/>
                <w:color w:val="auto"/>
              </w:rPr>
            </w:pPr>
          </w:p>
        </w:tc>
      </w:tr>
      <w:tr>
        <w:trPr>
          <w:trHeight w:val="213"/>
        </w:trPr>
        <w:tc>
          <w:tcPr>
            <w:tcW w:w="1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expense</w:t>
            </w:r>
          </w:p>
        </w:tc>
        <w:tc>
          <w:tcPr>
            <w:tcW w:w="8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82,807</w:t>
            </w:r>
          </w:p>
        </w:tc>
        <w:tc>
          <w:tcPr>
            <w:tcW w:w="0" w:type="dxa"/>
            <w:vAlign w:val="bottom"/>
          </w:tcPr>
          <w:p>
            <w:pPr>
              <w:spacing w:after="0"/>
              <w:rPr>
                <w:sz w:val="1"/>
                <w:szCs w:val="1"/>
                <w:color w:val="auto"/>
              </w:rPr>
            </w:pPr>
          </w:p>
        </w:tc>
      </w:tr>
      <w:tr>
        <w:trPr>
          <w:trHeight w:val="162"/>
        </w:trPr>
        <w:tc>
          <w:tcPr>
            <w:tcW w:w="18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Cash dividends ($0.42 per</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(18,633)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(18,633)</w:t>
            </w:r>
          </w:p>
        </w:tc>
        <w:tc>
          <w:tcPr>
            <w:tcW w:w="0" w:type="dxa"/>
            <w:vAlign w:val="bottom"/>
          </w:tcPr>
          <w:p>
            <w:pPr>
              <w:spacing w:after="0"/>
              <w:rPr>
                <w:sz w:val="1"/>
                <w:szCs w:val="1"/>
                <w:color w:val="auto"/>
              </w:rPr>
            </w:pPr>
          </w:p>
        </w:tc>
      </w:tr>
      <w:tr>
        <w:trPr>
          <w:trHeight w:val="213"/>
        </w:trPr>
        <w:tc>
          <w:tcPr>
            <w:tcW w:w="1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w:t>
            </w:r>
          </w:p>
        </w:tc>
        <w:tc>
          <w:tcPr>
            <w:tcW w:w="8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8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Currency translation</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19,501</w:t>
            </w:r>
          </w:p>
        </w:tc>
        <w:tc>
          <w:tcPr>
            <w:tcW w:w="10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19,501</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adjustment</w:t>
            </w:r>
          </w:p>
        </w:tc>
        <w:tc>
          <w:tcPr>
            <w:tcW w:w="82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8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Purchases of treasury</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(30,300)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(30,300)</w:t>
            </w:r>
          </w:p>
        </w:tc>
        <w:tc>
          <w:tcPr>
            <w:tcW w:w="0" w:type="dxa"/>
            <w:vAlign w:val="bottom"/>
          </w:tcPr>
          <w:p>
            <w:pPr>
              <w:spacing w:after="0"/>
              <w:rPr>
                <w:sz w:val="1"/>
                <w:szCs w:val="1"/>
                <w:color w:val="auto"/>
              </w:rPr>
            </w:pPr>
          </w:p>
        </w:tc>
      </w:tr>
      <w:tr>
        <w:trPr>
          <w:trHeight w:val="213"/>
        </w:trPr>
        <w:tc>
          <w:tcPr>
            <w:tcW w:w="1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 including excise tax</w:t>
            </w:r>
          </w:p>
        </w:tc>
        <w:tc>
          <w:tcPr>
            <w:tcW w:w="8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 of 9/30/2025</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57,547</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1,766,282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1,584,851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(1,075,296)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2,199,646</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62" w:right="399"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FIRSTCASH HOLDINGS,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40" w:type="dxa"/>
            <w:vAlign w:val="bottom"/>
            <w:gridSpan w:val="4"/>
          </w:tcPr>
          <w:p>
            <w:pPr>
              <w:jc w:val="right"/>
              <w:ind w:right="75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19"/>
        </w:trPr>
        <w:tc>
          <w:tcPr>
            <w:tcW w:w="8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September 30,</w:t>
            </w:r>
          </w:p>
        </w:tc>
        <w:tc>
          <w:tcPr>
            <w:tcW w:w="940" w:type="dxa"/>
            <w:vAlign w:val="bottom"/>
            <w:tcBorders>
              <w:bottom w:val="single" w:sz="8" w:color="auto"/>
            </w:tcBorders>
          </w:tcPr>
          <w:p>
            <w:pPr>
              <w:spacing w:after="0"/>
              <w:rPr>
                <w:sz w:val="19"/>
                <w:szCs w:val="19"/>
                <w:color w:val="auto"/>
              </w:rPr>
            </w:pPr>
          </w:p>
        </w:tc>
      </w:tr>
      <w:tr>
        <w:trPr>
          <w:trHeight w:val="211"/>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2025</w:t>
            </w:r>
          </w:p>
        </w:tc>
      </w:tr>
      <w:tr>
        <w:trPr>
          <w:trHeight w:val="19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from operating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4"/>
        </w:trPr>
        <w:tc>
          <w:tcPr>
            <w:tcW w:w="8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302,321</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226,203</w:t>
            </w:r>
          </w:p>
        </w:tc>
      </w:tr>
      <w:tr>
        <w:trPr>
          <w:trHeight w:val="218"/>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income to net cash flow provided by 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4"/>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of leased merchandise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215,822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243,119</w:t>
            </w:r>
          </w:p>
        </w:tc>
      </w:tr>
      <w:tr>
        <w:trPr>
          <w:trHeight w:val="218"/>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Provision for lease losses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71,204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88,025</w:t>
            </w:r>
          </w:p>
        </w:tc>
      </w:tr>
      <w:tr>
        <w:trPr>
          <w:trHeight w:val="214"/>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Provision for loan losses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123,564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118,468</w:t>
            </w:r>
          </w:p>
        </w:tc>
      </w:tr>
      <w:tr>
        <w:trPr>
          <w:trHeight w:val="218"/>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16,125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15,153</w:t>
            </w:r>
          </w:p>
        </w:tc>
      </w:tr>
      <w:tr>
        <w:trPr>
          <w:trHeight w:val="214"/>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96,239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80,400</w:t>
            </w:r>
          </w:p>
        </w:tc>
      </w:tr>
      <w:tr>
        <w:trPr>
          <w:trHeight w:val="218"/>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3,504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2,974</w:t>
            </w:r>
          </w:p>
        </w:tc>
      </w:tr>
      <w:tr>
        <w:trPr>
          <w:trHeight w:val="214"/>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Prepayment penalties on early termination of secured term loans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4,182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amortization of premiums, discounts and unearned origination fees on finance receivables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(51,422)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(48,945)</w:t>
            </w:r>
          </w:p>
        </w:tc>
      </w:tr>
      <w:tr>
        <w:trPr>
          <w:trHeight w:val="214"/>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(1,811)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16,709</w:t>
            </w:r>
          </w:p>
        </w:tc>
      </w:tr>
      <w:tr>
        <w:trPr>
          <w:trHeight w:val="218"/>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Changes in operating assets and liabilities, net of business combinations: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4"/>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(6,831)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(6,762)</w:t>
            </w:r>
          </w:p>
        </w:tc>
      </w:tr>
      <w:tr>
        <w:trPr>
          <w:trHeight w:val="218"/>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Inventories purchased directly from customers, wholesalers or manufacturers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(45,803)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(13,367)</w:t>
            </w:r>
          </w:p>
        </w:tc>
      </w:tr>
      <w:tr>
        <w:trPr>
          <w:trHeight w:val="214"/>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Leased merchandise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(247,448)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(302,432)</w:t>
            </w:r>
          </w:p>
        </w:tc>
      </w:tr>
      <w:tr>
        <w:trPr>
          <w:trHeight w:val="218"/>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(3,186)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(12,253)</w:t>
            </w:r>
          </w:p>
        </w:tc>
      </w:tr>
      <w:tr>
        <w:trPr>
          <w:trHeight w:val="214"/>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 accrued liabilities and other liabilities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5,428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(27,086)</w:t>
            </w:r>
          </w:p>
        </w:tc>
      </w:tr>
      <w:tr>
        <w:trPr>
          <w:trHeight w:val="218"/>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(9,495)</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w:t>
            </w:r>
          </w:p>
        </w:tc>
      </w:tr>
      <w:tr>
        <w:trPr>
          <w:trHeight w:val="208"/>
        </w:trPr>
        <w:tc>
          <w:tcPr>
            <w:tcW w:w="8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Net cash flow provided by operating activities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472,393</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379,297</w:t>
            </w:r>
          </w:p>
        </w:tc>
      </w:tr>
      <w:tr>
        <w:trPr>
          <w:trHeight w:val="19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from investing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4"/>
        </w:trPr>
        <w:tc>
          <w:tcPr>
            <w:tcW w:w="8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Pawn loans made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(1,995,764)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(1,416,821)</w:t>
            </w:r>
          </w:p>
        </w:tc>
      </w:tr>
      <w:tr>
        <w:trPr>
          <w:trHeight w:val="218"/>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Pawn loans repaid</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1,143,076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800,966</w:t>
            </w:r>
          </w:p>
        </w:tc>
      </w:tr>
      <w:tr>
        <w:trPr>
          <w:trHeight w:val="214"/>
        </w:trPr>
        <w:tc>
          <w:tcPr>
            <w:tcW w:w="8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Recovery of pawn loan principal through sale of forfeited collateral</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711,909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517,122</w:t>
            </w:r>
          </w:p>
        </w:tc>
      </w:tr>
      <w:tr>
        <w:trPr>
          <w:trHeight w:val="218"/>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Investments in finance receivables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(283,490)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(338,295)</w:t>
            </w:r>
          </w:p>
        </w:tc>
      </w:tr>
      <w:tr>
        <w:trPr>
          <w:trHeight w:val="214"/>
        </w:trPr>
        <w:tc>
          <w:tcPr>
            <w:tcW w:w="8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finance receivables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264,339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263,139</w:t>
            </w:r>
          </w:p>
        </w:tc>
      </w:tr>
      <w:tr>
        <w:trPr>
          <w:trHeight w:val="218"/>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Purchases of furniture, fixtures, equipment and improvements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(55,954)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(37,419)</w:t>
            </w:r>
          </w:p>
        </w:tc>
      </w:tr>
      <w:tr>
        <w:trPr>
          <w:trHeight w:val="214"/>
        </w:trPr>
        <w:tc>
          <w:tcPr>
            <w:tcW w:w="8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Purchases of store real property</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(69,728)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(44,231)</w:t>
            </w:r>
          </w:p>
        </w:tc>
      </w:tr>
      <w:tr>
        <w:trPr>
          <w:trHeight w:val="218"/>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Acquisitions of pawn stores, net of cash acquired</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(21,074)</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(406,874)</w:t>
            </w:r>
          </w:p>
        </w:tc>
      </w:tr>
      <w:tr>
        <w:trPr>
          <w:trHeight w:val="208"/>
        </w:trPr>
        <w:tc>
          <w:tcPr>
            <w:tcW w:w="8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Net cash flow used in investing activities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(306,686)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(662,413)</w:t>
            </w:r>
          </w:p>
        </w:tc>
      </w:tr>
      <w:tr>
        <w:trPr>
          <w:trHeight w:val="19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from financing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4"/>
        </w:trPr>
        <w:tc>
          <w:tcPr>
            <w:tcW w:w="8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Borrowings from credit facilities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433,924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689,372</w:t>
            </w:r>
          </w:p>
        </w:tc>
      </w:tr>
      <w:tr>
        <w:trPr>
          <w:trHeight w:val="218"/>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Repayments of credit facilities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(878,378)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(315,070)</w:t>
            </w:r>
          </w:p>
        </w:tc>
      </w:tr>
      <w:tr>
        <w:trPr>
          <w:trHeight w:val="214"/>
        </w:trPr>
        <w:tc>
          <w:tcPr>
            <w:tcW w:w="8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Prepayment penalties on early termination of secured term loans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(4,182)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Repayment and early termination of secured term loans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(60,505)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 senior unsecured notes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750,000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Debt issuance costs paid</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(12,270)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(251,150)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(90,459)</w:t>
            </w:r>
          </w:p>
        </w:tc>
      </w:tr>
      <w:tr>
        <w:trPr>
          <w:trHeight w:val="218"/>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 of withholding taxes on net share settlements of restricted stock unit awards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(11,240)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(5,764)</w:t>
            </w:r>
          </w:p>
        </w:tc>
      </w:tr>
      <w:tr>
        <w:trPr>
          <w:trHeight w:val="214"/>
        </w:trPr>
        <w:tc>
          <w:tcPr>
            <w:tcW w:w="8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Dividends paid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(55,082)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(52,435)</w:t>
            </w:r>
          </w:p>
        </w:tc>
      </w:tr>
      <w:tr>
        <w:trPr>
          <w:trHeight w:val="211"/>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flow (used in) provided by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(88,883)</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225,644</w:t>
            </w:r>
          </w:p>
        </w:tc>
      </w:tr>
      <w:tr>
        <w:trPr>
          <w:trHeight w:val="208"/>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rates on cash</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1,138</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12,617</w:t>
            </w:r>
          </w:p>
        </w:tc>
      </w:tr>
      <w:tr>
        <w:trPr>
          <w:trHeight w:val="211"/>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77,962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(44,855)</w:t>
            </w:r>
          </w:p>
        </w:tc>
      </w:tr>
      <w:tr>
        <w:trPr>
          <w:trHeight w:val="214"/>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the period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125,197</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175,095</w:t>
            </w:r>
          </w:p>
        </w:tc>
      </w:tr>
      <w:tr>
        <w:trPr>
          <w:trHeight w:val="236"/>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the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203,159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130,240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ectPr>
          <w:pgSz w:w="11900" w:h="16838" w:orient="portrait"/>
          <w:cols w:equalWidth="0" w:num="1">
            <w:col w:w="11240"/>
          </w:cols>
          <w:pgMar w:left="320" w:top="1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type w:val="continuous"/>
        </w:sectPr>
      </w:pPr>
    </w:p>
    <w:bookmarkStart w:id="10" w:name="page11"/>
    <w:bookmarkEnd w:id="10"/>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FIRSTCASH HOLDINGS,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Basis of Presentation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balance sheet as of December 31, 2025, which is derived from audited consolidated financial statements, and the unaudited consolidated financial statements, including the notes thereto, include the accounts of FirstCash Holdings, Inc. and its wholly-owned subsidiaries (together, the “Company”). The Company regularly makes acquisitions, and the results of operations for the acquisitions have been consolidated since the acquisition dates. All significant intercompany accounts and transactions have been eliminated.</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unaudited consolidated financial statements have been prepared in accordance with U.S. generally accepted accounting principles (“GAAP”) for interim financial information and with the rules and regulations for reporting on Form 10-Q. Accordingly, they do not include certain information and disclosures required for comprehensive financial statements. These interim period financial statements should be read in conjunction with the Company’s audited consolidated financial statements, which are included in the Company’s Annual Report on Form 10-K for the year ended December 31, 2025, filed with the SEC on February 9, 2026. The consolidated financial statements as of September 30, 2026 and 2025, and for the three month and nine month periods ended September 30, 2026 and 2025, are unaudited, but in management’s opinion include all adjustments (consisting of only normal recurring adjustments) considered necessary to present fairly the financial position, results of operations and cash flows for such interim periods. Operating results for the periods ended September 30, 2026 are not necessarily indicative of the results that may be expected for the full year.</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pawn operations in Mexico, Guatemala, Colombia and the U.K., where the functional currency is the Mexican peso, Guatemalan quetzal, Colombian peso and the British pound sterling, respectively. Accordingly, the assets and liabilities of these subsidiaries are translated into U.S. dollars at the exchange rate in effect at each balance sheet date, and the resulting adjustments are accumulated in other comprehensive income (loss) as a separate component of stockholders’ equity. Revenues and expenses are translated at the average exchange rates occurring during the respective period. The Company also has pawn operations in El Salvador, where the reporting and functional currency is the U.S. dollar.</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18, 2026, the Company completed its reincorporation from the State of Delaware to the State of Texas by conversion. The reincorporation was approved by the Company’s stockholders at the annual meeting of stockholders held on June 9, 2026. The reincorporation did not affect the accompanying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interim financial statements in conformity with GAAP requires management to make estimates and assumptions that affect the reported amounts of assets and liabilities, and related revenue and expenses, and the disclosure of gain and loss contingencies at the date of the financial statements. Such estimates and assumptions are subject to a number of risks and uncertainties, which may cause actual results to differ materially from the Company’s estimates.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Reclassification</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purposes of comparability, certain prior period amounts in the consolidated statements of cash flows have been reclassified in order to conform to the current period presentation.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presentation of pawn loans within cash flows from investing activities in the consolidated statements of cash flows for the nine months ended September 30, 2025 has been revised to reflect a gross presentation of pawn loans made, pawn loans repaid and recovery of pawn loan principal through sale of forfeited collateral. This reclassification of prior period amounts did not result in changes to previously reported net cash flow used in investing activities.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 Accounting Pronouncements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(“ASU 2024-03”). ASU 2024-03 requires additional disclosure of specific types of expenses included in the expense captions presented on the face of the income statement as well as disclosures about selling expenses. In January 2025, the FASB issued ASU 2025-01, “Income Statement—Reporting Comprehensive Income—Expense Disaggregation Disclosures (Subtopic 220-40): Clarifying the Effective Date,” which clarifies the effective date of ASU 2024-03. ASU 2024-03 is effective for fiscal years beginning after December 15, 2026 and interim periods beginning after December 15, 2027, with early adoption permitted. ASU 2024-03 may be applied either prospectively or retrospectively for all prior periods presented. The Company is currently evaluating the impact of adopting this guidance on the Company's current financial position, results of operations and financial statement disclosures.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Targeted Improvements to the Accounting for Internal-Use Software” (“ASU 2025-06”). ASU 2025-06 modernizes the capitalization criteria for internal-use software by eliminating references to project stages and clarifying the threshold applied to begin capitalizing costs. This guidance is effective for fiscal years beginning after December 15, 2027 and interim reporting periods within those annual reporting periods. Early adoption is permitted as of the beginning of an annual reporting period. The Company is currently evaluating the impact of adopting this guidance on the Company's financial position, results of operations and financial statement disclosures.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(“ASU 2025-11”). ASU 2025-11 clarifies the applicability of the interim reporting guidance, the types of interim reporting, and the form and content of interim financial statements in accordance with GAAP. Per the FASB, the amendment does not intend to change the fundamental nature of interim reporting or expand or reduce current interim disclosure requirements but rather provide clarity and improve navigability of the existing interim reporting requirements. ASU 2025-11 is effective for interim periods within annual reporting periods beginning after December 15, 2027, with early adoption permitted. ASU 2025-11 may be applied either prospectively or retrospectively for all prior periods presented. The Company is currently evaluating the impact of adopting this guidance on the Company's financial position, results of operations and financial statement disclosures.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(in thousands, except per share amounts):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Three Months Ended</w:t>
            </w:r>
          </w:p>
        </w:tc>
        <w:tc>
          <w:tcPr>
            <w:tcW w:w="340" w:type="dxa"/>
            <w:vAlign w:val="bottom"/>
          </w:tcPr>
          <w:p>
            <w:pPr>
              <w:spacing w:after="0"/>
              <w:rPr>
                <w:sz w:val="18"/>
                <w:szCs w:val="18"/>
                <w:color w:val="auto"/>
              </w:rPr>
            </w:pPr>
          </w:p>
        </w:tc>
        <w:tc>
          <w:tcPr>
            <w:tcW w:w="2640" w:type="dxa"/>
            <w:vAlign w:val="bottom"/>
            <w:gridSpan w:val="4"/>
          </w:tcPr>
          <w:p>
            <w:pPr>
              <w:jc w:val="right"/>
              <w:ind w:right="75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19"/>
        </w:trPr>
        <w:tc>
          <w:tcPr>
            <w:tcW w:w="5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September 30,</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September 30,</w:t>
            </w:r>
          </w:p>
        </w:tc>
        <w:tc>
          <w:tcPr>
            <w:tcW w:w="940" w:type="dxa"/>
            <w:vAlign w:val="bottom"/>
            <w:tcBorders>
              <w:bottom w:val="single" w:sz="8" w:color="auto"/>
            </w:tcBorders>
          </w:tcPr>
          <w:p>
            <w:pPr>
              <w:spacing w:after="0"/>
              <w:rPr>
                <w:sz w:val="19"/>
                <w:szCs w:val="19"/>
                <w:color w:val="auto"/>
              </w:rPr>
            </w:pPr>
          </w:p>
        </w:tc>
      </w:tr>
      <w:tr>
        <w:trPr>
          <w:trHeight w:val="211"/>
        </w:trPr>
        <w:tc>
          <w:tcPr>
            <w:tcW w:w="5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2025</w:t>
            </w:r>
          </w:p>
        </w:tc>
      </w:tr>
      <w:tr>
        <w:trPr>
          <w:trHeight w:val="19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89"/>
        </w:trPr>
        <w:tc>
          <w:tcPr>
            <w:tcW w:w="5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101,152</w:t>
            </w:r>
          </w:p>
        </w:tc>
        <w:tc>
          <w:tcPr>
            <w:tcW w:w="100" w:type="dxa"/>
            <w:vAlign w:val="bottom"/>
          </w:tcPr>
          <w:p>
            <w:pPr>
              <w:spacing w:after="0"/>
              <w:rPr>
                <w:sz w:val="16"/>
                <w:szCs w:val="16"/>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82,807</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302,321</w:t>
            </w:r>
          </w:p>
        </w:tc>
        <w:tc>
          <w:tcPr>
            <w:tcW w:w="100" w:type="dxa"/>
            <w:vAlign w:val="bottom"/>
          </w:tcPr>
          <w:p>
            <w:pPr>
              <w:spacing w:after="0"/>
              <w:rPr>
                <w:sz w:val="16"/>
                <w:szCs w:val="16"/>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226,203</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2"/>
        </w:trPr>
        <w:tc>
          <w:tcPr>
            <w:tcW w:w="52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Weighted-average common shares for calculating basic earnings per share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43,052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43,634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44,406</w:t>
            </w:r>
          </w:p>
        </w:tc>
      </w:tr>
      <w:tr>
        <w:trPr>
          <w:trHeight w:val="213"/>
        </w:trPr>
        <w:tc>
          <w:tcPr>
            <w:tcW w:w="5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7"/>
        </w:trPr>
        <w:tc>
          <w:tcPr>
            <w:tcW w:w="5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Restricted stock unit awards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236</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11"/>
        </w:trPr>
        <w:tc>
          <w:tcPr>
            <w:tcW w:w="5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Weighted-average common shares for calculating diluted earnings per share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43,335</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44,472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43,870</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44,603</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2"/>
        </w:trPr>
        <w:tc>
          <w:tcPr>
            <w:tcW w:w="52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r>
      <w:tr>
        <w:trPr>
          <w:trHeight w:val="212"/>
        </w:trPr>
        <w:tc>
          <w:tcPr>
            <w:tcW w:w="5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2.33</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6.89</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Acquisitions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Pending Ramsdens Acquisition</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23, 2026, the Company agreed on terms of the acquisition of Ramsdens, a leading pawn operator in the U.K. with over 175 store locations, whereby the Company will acquire the entire issued and to be issued share capital of Ramsdens by means of a court-sanctioned scheme of arrangement under Part 26 of the U.K. Companies Act 2006, as amended (“Ramsdens Acquisition”). On July 16, 2026, the Company agreed on revised terms of the acquisition to increase the cash price to be received by Ramsdens’ shareholders. Under the revised terms of the Ramsdens Acquisition, Ramsdens’ shareholders will be entitled to receive 675 pence per share in cash. The total equity value for the Ramsdens Acquisition is approximately £228.6 million ($303.7 million USD using GBP/USD exchange rate of 1.33).</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third quarter of 2026, both the Ramsdens’ shareholders and the U.K. financial regulator (Financial Conduct Authority) approved the acquisition. The Ramsdens Acquisition is expected to be consummated by the end of 2026, pending receipt of the required U.K. anti-trust approval and satisfaction of the remaining customary closing conditions.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Pawn Acquisitions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Consistent with the Company’s strategy to continue its expansion of pawn stores in strategic markets, during the nine months ended September 30, 2026, the Company acquired 11 pawn stores in the U.S. in five separate transactions and one store in the U.K. in a separate transaction. The aggregate purchase price for these acquisitions totaled $16.5 million, net of cash acquired and subject to future post-closing adjustments. The aggregate purchase price was composed of $15.8 million in cash paid during the nine months ended September 30, 2026 and remaining short-term amounts payable to certain of the sellers of $0.7 million. During the nine months ended September 30, 2026, the Company also paid $5.3 million of purchase price amounts payable related to prior-year pawn acquisitions.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purchase price of each of the 2026 acquisitions was allocated to assets acquired and liabilities assumed based upon the estimated fair values at the date of acquisition. The excess purchase price over the estimated fair value of the net assets acquired has been recorded as goodwill. The goodwill arising from these acquisitions consists largely of the synergies and economies of scale expected from combining the operations of the Company and the pawn stores acquired. The acquisitions were not material, individually or in the aggregate, to the Company’s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H&amp;T Acquisition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completed the acquisition of H&amp;T Group plc (“H&amp;T”), the leading pawn operator in the U.K., on August 14, 2025, the date on which the balance sheet and operating results of H&amp;T were included in the Company’s consolidated financial results (the “H&amp;T Acquisition”). The purchase price allocation for the H&amp;T Acquisition was finalized upon the conclusion of the measurement period on August 14, 2026. No material measurement period adjustments were recognized during the three month and nine month periods ended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Operating Leases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Lessor</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information about the Company’s revenue-generating activities as a lessor, refer to the “Leased merchandise and revenue recognition” section of Note 2 to the consolidated financial statements included in the Company’s 2025 Annual Report on Form 10-K. All of the Company’s lease agreements are considered operating leases.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Lessee</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leases approximately 61% of its U.S. pawnshop locations, almost all of its Latin America and U.K. pawnshop locations and certain administrative offices under operating leases and determines if an arrangement is or contains a lease at inception. Many leases include both lease and non-lease components for which the Company accounts separately. Lease components include rent, taxes and insurance costs while non-lease components include common area or other maintenance costs. Operating leases are included in operating lease right of use assets, lease liability, current and lease liability, non-current in the consolidated balance sheets. The Company does not have any finance leases.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Leased facilities are generally leased for a term of three to five years with one or more options to renew for an additional three to five years, typically at the Company’s sole discretion. In addition, the majority of these leases can be terminated early upon an adverse change in law which negatively affects the store’s profitability. The Company regularly evaluates renewal and termination options to determine if the Company is reasonably certain to exercise the option, and excludes these options from the lease term included in the recognition of the operating lease right of use asset and lease liability until such certainty exists. The weighted-average remaining lease term for operating leases was 4.2 years as of both September 30, 2026 and 2025.</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operating lease right of use asset and lease liability are recognized based on the present value of the future minimum lease payments over the lease term at the commencement date. The Company’s leases do not provide an implicit rate, and therefore, it uses its incremental borrowing rate based on the information available at the lease commencement date in determining the present value of the lease payments. The Company utilizes a portfolio approach for determining the incremental borrowing rate to apply to groups of leases with similar characteristics. The weighted-average discount rate used to measure the lease liability as of September 30, 2026 and 2025 was 7.9% and 8.5%, respectively.</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certain operating leases in Mexico which are denominated in U.S. dollars. The liability related to these leases is considered a monetary liability and requires remeasurement each reporting period into the functional currency (Mexican pesos) using reporting date exchange rates. The remeasurement results in the recognition of foreign currency exchange gains or losses each reporting period, which can produce a certain level of earnings volatility. The Company recognized a foreign currency loss of $0.6 million and a gain of $0.6 million during the three months ended September 30, 2026 and 2025, respectively, related to the remeasurement of these U.S. dollar-denominated operating leases, which is included in (gain) loss on foreign exchange in the accompanying consolidated statements of income. During the nine months ended September 30, 2026 and 2025, the Company recognized a foreign currency gain of $1.0 million and $2.1 million, respectively, related to these U.S. dollar-denominated operating leases.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Lease expense is recognized on a straight-line basis over the lease term, with variable lease expense recognized in the period such payments are incurred. The following table details the components of lease expense included in operating expenses in the consolidated statements of income during the three and nine months ended September 30, 2026 and 2025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242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color w:val="auto"/>
              </w:rPr>
              <w:t>Three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40" w:type="dxa"/>
            <w:vAlign w:val="bottom"/>
            <w:gridSpan w:val="4"/>
          </w:tcPr>
          <w:p>
            <w:pPr>
              <w:jc w:val="right"/>
              <w:ind w:right="75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19"/>
        </w:trPr>
        <w:tc>
          <w:tcPr>
            <w:tcW w:w="52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379"/>
              <w:spacing w:after="0"/>
              <w:rPr>
                <w:sz w:val="20"/>
                <w:szCs w:val="20"/>
                <w:color w:val="auto"/>
              </w:rPr>
            </w:pPr>
            <w:r>
              <w:rPr>
                <w:rFonts w:ascii="Times New Roman" w:cs="Times New Roman" w:eastAsia="Times New Roman" w:hAnsi="Times New Roman"/>
                <w:sz w:val="16"/>
                <w:szCs w:val="16"/>
                <w:color w:val="auto"/>
              </w:rPr>
              <w:t>September 30,</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September 30,</w:t>
            </w:r>
          </w:p>
        </w:tc>
        <w:tc>
          <w:tcPr>
            <w:tcW w:w="940" w:type="dxa"/>
            <w:vAlign w:val="bottom"/>
            <w:tcBorders>
              <w:bottom w:val="single" w:sz="8" w:color="auto"/>
            </w:tcBorders>
          </w:tcPr>
          <w:p>
            <w:pPr>
              <w:spacing w:after="0"/>
              <w:rPr>
                <w:sz w:val="19"/>
                <w:szCs w:val="19"/>
                <w:color w:val="auto"/>
              </w:rPr>
            </w:pPr>
          </w:p>
        </w:tc>
      </w:tr>
      <w:tr>
        <w:trPr>
          <w:trHeight w:val="211"/>
        </w:trPr>
        <w:tc>
          <w:tcPr>
            <w:tcW w:w="52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2025</w:t>
            </w:r>
          </w:p>
        </w:tc>
      </w:tr>
      <w:tr>
        <w:trPr>
          <w:trHeight w:val="211"/>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expense</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40,193</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121,420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109,425</w:t>
            </w:r>
          </w:p>
        </w:tc>
      </w:tr>
      <w:tr>
        <w:trPr>
          <w:trHeight w:val="216"/>
        </w:trPr>
        <w:tc>
          <w:tcPr>
            <w:tcW w:w="520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Variable lease expense </w:t>
            </w:r>
            <w:r>
              <w:rPr>
                <w:rFonts w:ascii="Times New Roman" w:cs="Times New Roman" w:eastAsia="Times New Roman" w:hAnsi="Times New Roman"/>
                <w:sz w:val="21"/>
                <w:szCs w:val="21"/>
                <w:color w:val="auto"/>
                <w:vertAlign w:val="superscript"/>
              </w:rPr>
              <w:t>(1)</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5,871</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17,303</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14,783</w:t>
            </w:r>
          </w:p>
        </w:tc>
      </w:tr>
      <w:tr>
        <w:trPr>
          <w:trHeight w:val="234"/>
        </w:trPr>
        <w:tc>
          <w:tcPr>
            <w:tcW w:w="5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operating lease expense</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46,064</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43,274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138,723</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124,208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ind w:left="340" w:hanging="332"/>
        <w:spacing w:after="0" w:line="225" w:lineRule="auto"/>
        <w:tabs>
          <w:tab w:leader="none" w:pos="328"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Variable lease costs consist primarily of taxes, insurance and common area or other maintenance costs paid based on actual costs incurred by the lessor and can therefore vary over the lease term.</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maturity of lease liabilities for all operating leases as of September 30, 2026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Three months ending December 31, 2026</w:t>
            </w: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36,764</w:t>
            </w:r>
          </w:p>
        </w:tc>
      </w:tr>
      <w:tr>
        <w:trPr>
          <w:trHeight w:val="213"/>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127,176</w:t>
            </w:r>
          </w:p>
        </w:tc>
      </w:tr>
      <w:tr>
        <w:trPr>
          <w:trHeight w:val="21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101,248</w:t>
            </w:r>
          </w:p>
        </w:tc>
      </w:tr>
      <w:tr>
        <w:trPr>
          <w:trHeight w:val="213"/>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71,616</w:t>
            </w:r>
          </w:p>
        </w:tc>
      </w:tr>
      <w:tr>
        <w:trPr>
          <w:trHeight w:val="21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39,820</w:t>
            </w:r>
          </w:p>
        </w:tc>
      </w:tr>
      <w:tr>
        <w:trPr>
          <w:trHeight w:val="213"/>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46,665</w:t>
            </w:r>
          </w:p>
        </w:tc>
      </w:tr>
      <w:tr>
        <w:trPr>
          <w:trHeight w:val="212"/>
        </w:trPr>
        <w:tc>
          <w:tcPr>
            <w:tcW w:w="9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423,289</w:t>
            </w:r>
          </w:p>
        </w:tc>
      </w:tr>
      <w:tr>
        <w:trPr>
          <w:trHeight w:val="213"/>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amount of lease payments representing interest</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(62,702)</w:t>
            </w:r>
          </w:p>
        </w:tc>
      </w:tr>
      <w:tr>
        <w:trPr>
          <w:trHeight w:val="237"/>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present value of lease payments</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360,587</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details supplemental cash flow information related to operating leases for the nine months ended September 30, 2026 and 2025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40" w:type="dxa"/>
            <w:vAlign w:val="bottom"/>
            <w:gridSpan w:val="4"/>
          </w:tcPr>
          <w:p>
            <w:pPr>
              <w:jc w:val="right"/>
              <w:ind w:right="75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19"/>
        </w:trPr>
        <w:tc>
          <w:tcPr>
            <w:tcW w:w="8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September 30,</w:t>
            </w:r>
          </w:p>
        </w:tc>
        <w:tc>
          <w:tcPr>
            <w:tcW w:w="940" w:type="dxa"/>
            <w:vAlign w:val="bottom"/>
            <w:tcBorders>
              <w:bottom w:val="single" w:sz="8" w:color="auto"/>
            </w:tcBorders>
          </w:tcPr>
          <w:p>
            <w:pPr>
              <w:spacing w:after="0"/>
              <w:rPr>
                <w:sz w:val="19"/>
                <w:szCs w:val="19"/>
                <w:color w:val="auto"/>
              </w:rPr>
            </w:pPr>
          </w:p>
        </w:tc>
      </w:tr>
      <w:tr>
        <w:trPr>
          <w:trHeight w:val="211"/>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2025</w:t>
            </w:r>
          </w:p>
        </w:tc>
      </w:tr>
      <w:tr>
        <w:trPr>
          <w:trHeight w:val="21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operating lease liabilities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113,240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99,350</w:t>
            </w:r>
          </w:p>
        </w:tc>
      </w:tr>
      <w:tr>
        <w:trPr>
          <w:trHeight w:val="212"/>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assets obtained in exchange for new operating lease liabilities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90,107</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85,718</w:t>
            </w: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Fair Value of Financial Instruments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financial instruments is determined by reference to various market data and other valuation techniques, as appropriate. 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 The three fair value levels are (from highest to lowest):</w:t>
      </w:r>
    </w:p>
    <w:p>
      <w:pPr>
        <w:spacing w:after="0" w:line="2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Recurring Fair Value Measurements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did not have any financial assets and liabilities measured at fair value on a recurring basis as of September 30, 2026, September 30, 2025 and December 31,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Fair Value Measurements on a Non-Recurring Basis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non-financial assets and liabilities, such as property and equipment and intangible assets, at fair value on a non-recurring basis, or when events or circumstances indicate that the carrying amount of the assets may be impaired. There were no such events or conditions identified during the nine months ended September 30, 2026.</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Financial Assets and Liabilities Not Measured at Fair Value, But for Which Fair Value is Disclosed</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as of September 30, 2026, September 30, 2025 and December 31, 2025 that are not measured at fair value in the consolidated balance sheets are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8"/>
              </w:rPr>
              <w:t>Carrying Value</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6"/>
                <w:szCs w:val="16"/>
                <w:color w:val="auto"/>
              </w:rPr>
              <w:t>Estimated Fair Value</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12"/>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6"/>
          </w:tcPr>
          <w:p>
            <w:pPr>
              <w:jc w:val="center"/>
              <w:ind w:left="679"/>
              <w:spacing w:after="0"/>
              <w:rPr>
                <w:sz w:val="20"/>
                <w:szCs w:val="20"/>
                <w:color w:val="auto"/>
              </w:rPr>
            </w:pPr>
            <w:r>
              <w:rPr>
                <w:rFonts w:ascii="Times New Roman" w:cs="Times New Roman" w:eastAsia="Times New Roman" w:hAnsi="Times New Roman"/>
                <w:sz w:val="16"/>
                <w:szCs w:val="16"/>
                <w:color w:val="auto"/>
              </w:rPr>
              <w:t>Fair Value Measurements Using</w:t>
            </w:r>
          </w:p>
        </w:tc>
        <w:tc>
          <w:tcPr>
            <w:tcW w:w="1040" w:type="dxa"/>
            <w:vAlign w:val="bottom"/>
            <w:tcBorders>
              <w:bottom w:val="single" w:sz="8" w:color="auto"/>
            </w:tcBorders>
          </w:tcPr>
          <w:p>
            <w:pPr>
              <w:spacing w:after="0"/>
              <w:rPr>
                <w:sz w:val="18"/>
                <w:szCs w:val="18"/>
                <w:color w:val="auto"/>
              </w:rPr>
            </w:pPr>
          </w:p>
        </w:tc>
      </w:tr>
      <w:tr>
        <w:trPr>
          <w:trHeight w:val="210"/>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Level 1</w:t>
            </w:r>
          </w:p>
        </w:tc>
        <w:tc>
          <w:tcPr>
            <w:tcW w:w="26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Level 2</w:t>
            </w:r>
          </w:p>
        </w:tc>
        <w:tc>
          <w:tcPr>
            <w:tcW w:w="340" w:type="dxa"/>
            <w:vAlign w:val="bottom"/>
          </w:tcPr>
          <w:p>
            <w:pPr>
              <w:spacing w:after="0"/>
              <w:rPr>
                <w:sz w:val="18"/>
                <w:szCs w:val="18"/>
                <w:color w:val="auto"/>
              </w:rPr>
            </w:pPr>
          </w:p>
        </w:tc>
        <w:tc>
          <w:tcPr>
            <w:tcW w:w="10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Level 3</w:t>
            </w:r>
          </w:p>
        </w:tc>
      </w:tr>
      <w:tr>
        <w:trPr>
          <w:trHeight w:val="199"/>
        </w:trPr>
        <w:tc>
          <w:tcPr>
            <w:tcW w:w="37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Financial assets:</w:t>
            </w:r>
          </w:p>
        </w:tc>
        <w:tc>
          <w:tcPr>
            <w:tcW w:w="18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203,159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203,159</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203,159</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122,476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122,476</w:t>
            </w: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Pawn loans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907,670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907,670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907,670</w:t>
            </w:r>
          </w:p>
        </w:tc>
      </w:tr>
      <w:tr>
        <w:trPr>
          <w:trHeight w:val="219"/>
        </w:trPr>
        <w:tc>
          <w:tcPr>
            <w:tcW w:w="3700" w:type="dxa"/>
            <w:vAlign w:val="bottom"/>
            <w:shd w:val="clear" w:color="auto" w:fill="CCEEFF"/>
          </w:tcPr>
          <w:p>
            <w:pPr>
              <w:ind w:left="180"/>
              <w:spacing w:after="0" w:line="219" w:lineRule="exact"/>
              <w:rPr>
                <w:sz w:val="20"/>
                <w:szCs w:val="20"/>
                <w:color w:val="auto"/>
              </w:rPr>
            </w:pPr>
            <w:r>
              <w:rPr>
                <w:rFonts w:ascii="Times New Roman" w:cs="Times New Roman" w:eastAsia="Times New Roman" w:hAnsi="Times New Roman"/>
                <w:sz w:val="16"/>
                <w:szCs w:val="16"/>
                <w:color w:val="auto"/>
              </w:rPr>
              <w:t xml:space="preserve">Finance receivables, net </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246,412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246,412</w:t>
            </w:r>
          </w:p>
        </w:tc>
      </w:tr>
      <w:tr>
        <w:trPr>
          <w:trHeight w:val="207"/>
        </w:trPr>
        <w:tc>
          <w:tcPr>
            <w:tcW w:w="37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1,357,420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1,479,717</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203,159</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1,276,558</w:t>
            </w: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64"/>
        </w:trPr>
        <w:tc>
          <w:tcPr>
            <w:tcW w:w="37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Financial liabilities: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Liability for off-balance sheet credit exposure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24,057</w:t>
            </w: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Revolving unsecured credit facility</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long-term debt (outstanding principal)</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37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2,493,057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2,419,057</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2,395,000</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24,057</w:t>
            </w:r>
          </w:p>
        </w:tc>
      </w:tr>
      <w:tr>
        <w:trPr>
          <w:trHeight w:val="23"/>
        </w:trPr>
        <w:tc>
          <w:tcPr>
            <w:tcW w:w="3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93"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Finance receivables, gross as of September 30, 2026 were $250.6 million. See Note 6.</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8"/>
              </w:rPr>
              <w:t>Carrying Value</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6"/>
                <w:szCs w:val="16"/>
                <w:color w:val="auto"/>
              </w:rPr>
              <w:t>Estimated Fair Value</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10"/>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September 30,</w:t>
            </w:r>
          </w:p>
        </w:tc>
        <w:tc>
          <w:tcPr>
            <w:tcW w:w="26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6"/>
          </w:tcPr>
          <w:p>
            <w:pPr>
              <w:jc w:val="center"/>
              <w:ind w:left="679"/>
              <w:spacing w:after="0"/>
              <w:rPr>
                <w:sz w:val="20"/>
                <w:szCs w:val="20"/>
                <w:color w:val="auto"/>
              </w:rPr>
            </w:pPr>
            <w:r>
              <w:rPr>
                <w:rFonts w:ascii="Times New Roman" w:cs="Times New Roman" w:eastAsia="Times New Roman" w:hAnsi="Times New Roman"/>
                <w:sz w:val="16"/>
                <w:szCs w:val="16"/>
                <w:color w:val="auto"/>
              </w:rPr>
              <w:t>Fair Value Measurements Using</w:t>
            </w:r>
          </w:p>
        </w:tc>
        <w:tc>
          <w:tcPr>
            <w:tcW w:w="1040" w:type="dxa"/>
            <w:vAlign w:val="bottom"/>
            <w:tcBorders>
              <w:bottom w:val="single" w:sz="8" w:color="auto"/>
            </w:tcBorders>
          </w:tcPr>
          <w:p>
            <w:pPr>
              <w:spacing w:after="0"/>
              <w:rPr>
                <w:sz w:val="18"/>
                <w:szCs w:val="18"/>
                <w:color w:val="auto"/>
              </w:rPr>
            </w:pPr>
          </w:p>
        </w:tc>
      </w:tr>
      <w:tr>
        <w:trPr>
          <w:trHeight w:val="212"/>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9"/>
              </w:rPr>
              <w:t>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Level 1</w:t>
            </w:r>
          </w:p>
        </w:tc>
        <w:tc>
          <w:tcPr>
            <w:tcW w:w="26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Level 2</w:t>
            </w:r>
          </w:p>
        </w:tc>
        <w:tc>
          <w:tcPr>
            <w:tcW w:w="340" w:type="dxa"/>
            <w:vAlign w:val="bottom"/>
          </w:tcPr>
          <w:p>
            <w:pPr>
              <w:spacing w:after="0"/>
              <w:rPr>
                <w:sz w:val="18"/>
                <w:szCs w:val="18"/>
                <w:color w:val="auto"/>
              </w:rPr>
            </w:pPr>
          </w:p>
        </w:tc>
        <w:tc>
          <w:tcPr>
            <w:tcW w:w="10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Level 3</w:t>
            </w:r>
          </w:p>
        </w:tc>
      </w:tr>
      <w:tr>
        <w:trPr>
          <w:trHeight w:val="199"/>
        </w:trPr>
        <w:tc>
          <w:tcPr>
            <w:tcW w:w="37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Financial assets:</w:t>
            </w:r>
          </w:p>
        </w:tc>
        <w:tc>
          <w:tcPr>
            <w:tcW w:w="18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130,240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130,240</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130,240</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115,850</w:t>
            </w: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Pawn loans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788,130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788,130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788,130</w:t>
            </w:r>
          </w:p>
        </w:tc>
      </w:tr>
      <w:tr>
        <w:trPr>
          <w:trHeight w:val="219"/>
        </w:trPr>
        <w:tc>
          <w:tcPr>
            <w:tcW w:w="3700" w:type="dxa"/>
            <w:vAlign w:val="bottom"/>
            <w:shd w:val="clear" w:color="auto" w:fill="CCEEFF"/>
          </w:tcPr>
          <w:p>
            <w:pPr>
              <w:ind w:left="180"/>
              <w:spacing w:after="0" w:line="219" w:lineRule="exact"/>
              <w:rPr>
                <w:sz w:val="20"/>
                <w:szCs w:val="20"/>
                <w:color w:val="auto"/>
              </w:rPr>
            </w:pPr>
            <w:r>
              <w:rPr>
                <w:rFonts w:ascii="Times New Roman" w:cs="Times New Roman" w:eastAsia="Times New Roman" w:hAnsi="Times New Roman"/>
                <w:sz w:val="16"/>
                <w:szCs w:val="16"/>
                <w:color w:val="auto"/>
              </w:rPr>
              <w:t xml:space="preserve">Finance receivables, net </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293,086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293,086</w:t>
            </w:r>
          </w:p>
        </w:tc>
      </w:tr>
      <w:tr>
        <w:trPr>
          <w:trHeight w:val="207"/>
        </w:trPr>
        <w:tc>
          <w:tcPr>
            <w:tcW w:w="37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1,187,354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1,327,306</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130,240</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1,197,066</w:t>
            </w: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64"/>
        </w:trPr>
        <w:tc>
          <w:tcPr>
            <w:tcW w:w="37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Financial liabilities: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Liability for off-balance sheet credit exposure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4,790</w:t>
            </w: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Revolving unsecured credit facility</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long-term debt (outstanding principal)</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1,654,465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1,662,465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1,662,465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37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2,234,255</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2,242,255</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2,237,465</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4,790</w:t>
            </w:r>
          </w:p>
        </w:tc>
      </w:tr>
      <w:tr>
        <w:trPr>
          <w:trHeight w:val="23"/>
        </w:trPr>
        <w:tc>
          <w:tcPr>
            <w:tcW w:w="3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93"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Finance receivables, gross as of September 30, 2025 were $298.1 million. See Note 6.</w:t>
      </w:r>
    </w:p>
    <w:p>
      <w:pPr>
        <w:spacing w:after="0" w:line="200" w:lineRule="exact"/>
        <w:rPr>
          <w:rFonts w:ascii="Times New Roman" w:cs="Times New Roman" w:eastAsia="Times New Roman" w:hAnsi="Times New Roman"/>
          <w:sz w:val="21"/>
          <w:szCs w:val="21"/>
          <w:color w:val="auto"/>
          <w:vertAlign w:val="superscript"/>
        </w:rPr>
      </w:pPr>
    </w:p>
    <w:p>
      <w:pPr>
        <w:spacing w:after="0" w:line="327" w:lineRule="exact"/>
        <w:rPr>
          <w:rFonts w:ascii="Times New Roman" w:cs="Times New Roman" w:eastAsia="Times New Roman" w:hAnsi="Times New Roman"/>
          <w:sz w:val="21"/>
          <w:szCs w:val="21"/>
          <w:color w:val="auto"/>
          <w:vertAlign w:val="superscript"/>
        </w:rPr>
      </w:pPr>
    </w:p>
    <w:p>
      <w:pPr>
        <w:ind w:left="554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8"/>
              </w:rPr>
              <w:t>Carrying Value</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6"/>
                <w:szCs w:val="16"/>
                <w:color w:val="auto"/>
              </w:rPr>
              <w:t>Estimated Fair Value</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10"/>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December 31,</w:t>
            </w:r>
          </w:p>
        </w:tc>
        <w:tc>
          <w:tcPr>
            <w:tcW w:w="20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December 31,</w:t>
            </w:r>
          </w:p>
        </w:tc>
        <w:tc>
          <w:tcPr>
            <w:tcW w:w="26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6"/>
          </w:tcPr>
          <w:p>
            <w:pPr>
              <w:jc w:val="center"/>
              <w:ind w:left="679"/>
              <w:spacing w:after="0"/>
              <w:rPr>
                <w:sz w:val="20"/>
                <w:szCs w:val="20"/>
                <w:color w:val="auto"/>
              </w:rPr>
            </w:pPr>
            <w:r>
              <w:rPr>
                <w:rFonts w:ascii="Times New Roman" w:cs="Times New Roman" w:eastAsia="Times New Roman" w:hAnsi="Times New Roman"/>
                <w:sz w:val="16"/>
                <w:szCs w:val="16"/>
                <w:color w:val="auto"/>
              </w:rPr>
              <w:t>Fair Value Measurements Using</w:t>
            </w:r>
          </w:p>
        </w:tc>
        <w:tc>
          <w:tcPr>
            <w:tcW w:w="1040" w:type="dxa"/>
            <w:vAlign w:val="bottom"/>
            <w:tcBorders>
              <w:bottom w:val="single" w:sz="8" w:color="auto"/>
            </w:tcBorders>
          </w:tcPr>
          <w:p>
            <w:pPr>
              <w:spacing w:after="0"/>
              <w:rPr>
                <w:sz w:val="18"/>
                <w:szCs w:val="18"/>
                <w:color w:val="auto"/>
              </w:rPr>
            </w:pPr>
          </w:p>
        </w:tc>
      </w:tr>
      <w:tr>
        <w:trPr>
          <w:trHeight w:val="212"/>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9"/>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Level 1</w:t>
            </w:r>
          </w:p>
        </w:tc>
        <w:tc>
          <w:tcPr>
            <w:tcW w:w="26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Level 2</w:t>
            </w:r>
          </w:p>
        </w:tc>
        <w:tc>
          <w:tcPr>
            <w:tcW w:w="340" w:type="dxa"/>
            <w:vAlign w:val="bottom"/>
          </w:tcPr>
          <w:p>
            <w:pPr>
              <w:spacing w:after="0"/>
              <w:rPr>
                <w:sz w:val="18"/>
                <w:szCs w:val="18"/>
                <w:color w:val="auto"/>
              </w:rPr>
            </w:pPr>
          </w:p>
        </w:tc>
        <w:tc>
          <w:tcPr>
            <w:tcW w:w="10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Level 3</w:t>
            </w:r>
          </w:p>
        </w:tc>
      </w:tr>
      <w:tr>
        <w:trPr>
          <w:trHeight w:val="199"/>
        </w:trPr>
        <w:tc>
          <w:tcPr>
            <w:tcW w:w="37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Financial assets:</w:t>
            </w:r>
          </w:p>
        </w:tc>
        <w:tc>
          <w:tcPr>
            <w:tcW w:w="18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125,197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125,197</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125,197</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115,854</w:t>
            </w: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Pawn loans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831,497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831,497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831,497</w:t>
            </w:r>
          </w:p>
        </w:tc>
      </w:tr>
      <w:tr>
        <w:trPr>
          <w:trHeight w:val="219"/>
        </w:trPr>
        <w:tc>
          <w:tcPr>
            <w:tcW w:w="3700" w:type="dxa"/>
            <w:vAlign w:val="bottom"/>
            <w:shd w:val="clear" w:color="auto" w:fill="CCEEFF"/>
          </w:tcPr>
          <w:p>
            <w:pPr>
              <w:ind w:left="180"/>
              <w:spacing w:after="0" w:line="219" w:lineRule="exact"/>
              <w:rPr>
                <w:sz w:val="20"/>
                <w:szCs w:val="20"/>
                <w:color w:val="auto"/>
              </w:rPr>
            </w:pPr>
            <w:r>
              <w:rPr>
                <w:rFonts w:ascii="Times New Roman" w:cs="Times New Roman" w:eastAsia="Times New Roman" w:hAnsi="Times New Roman"/>
                <w:sz w:val="16"/>
                <w:szCs w:val="16"/>
                <w:color w:val="auto"/>
              </w:rPr>
              <w:t xml:space="preserve">Finance receivables, net </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281,504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281,504</w:t>
            </w:r>
          </w:p>
        </w:tc>
      </w:tr>
      <w:tr>
        <w:trPr>
          <w:trHeight w:val="207"/>
        </w:trPr>
        <w:tc>
          <w:tcPr>
            <w:tcW w:w="37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1,222,822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1,354,052</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125,197</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1,228,855</w:t>
            </w: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64"/>
        </w:trPr>
        <w:tc>
          <w:tcPr>
            <w:tcW w:w="37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Financial liabilities: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Liability for off-balance sheet credit exposure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13,782</w:t>
            </w: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Revolving unsecured credit facility</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long-term debt (outstanding principal)</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1,665,006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1,679,006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1,679,006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37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2,237,788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2,251,788</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2,238,006</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13,782</w:t>
            </w:r>
          </w:p>
        </w:tc>
      </w:tr>
      <w:tr>
        <w:trPr>
          <w:trHeight w:val="23"/>
        </w:trPr>
        <w:tc>
          <w:tcPr>
            <w:tcW w:w="3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93"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Finance receivables, gross as of December 31, 2025 were $283.5 million. See Note 6.</w:t>
      </w: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cash and cash equivalents have maturities of less than three months, the carrying value of cash and cash equivalents approximates fair value. Due to their short-term maturities, the carrying value of pawn loans and accounts receivable, net approximate fair value.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Finance receivables are measured at amortized cost, net of an allowance for loan losses on the consolidated balance sheets. In estimating fair value for finance receivables, the Company utilized a discounted cash flow methodology. The Company used various unobservable inputs reflecting its own assumptions, such as contractual future principal and interest cash flows, future charge-off rates and discount rates (which consider current interest rates and are adjusted for credit risk, among other factors).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 of the liability for off-balance sheet credit exposure approximates fair value as of September 30, 2026, September 30, 2025 and December 31, 2025 due to the short-term nature and estimation based on current expected lifetime losses.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carrying value of the revolving unsecured credit facility approximates fair value as of September 30, 2026, September 30, 2025 and December 31, 2025. The fair value of the revolving unsecured credit facility is estimated based on market values for debt issuances with similar characteristics or rates currently available for debt with similar terms. In addition, the revolving unsecured credit facility has a variable interest rate based on the prevailing Secured Overnight Financing Rate (“SOFR”) for borrowings denominated in U.S. dollars and Sterling Overnight Index Average (“SONIA”) for borrowings denominated in British pounds sterling, and reprices with any changes in SOFR or SONIA.</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2026, the other long-term debt consists solely of fixed rate senior unsecured notes. As of September 30, 2025 and December 31, 2025, the other long-term debt consists primarily of fixed rate senior unsecured notes and secured term loans. The fair value of the senior unsecured notes is estimated based on quoted prices in markets that are not active. The fair value of the secured term loans is estimated based on market values for debt issuances with similar characteristics or rates currently available for debt with similar terms. The remainder of the other long-term debt consists of two variable interest rate credit facilities, the carrying value of which approximates fair value as of September 30, 2025 and December 31, 2025.</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Finance Receivables,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receivables, net, which include retail installment sales agreements and bank-originated loans, consist of the following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vMerge w:val="restart"/>
          </w:tcPr>
          <w:p>
            <w:pPr>
              <w:ind w:left="500"/>
              <w:spacing w:after="0"/>
              <w:rPr>
                <w:sz w:val="20"/>
                <w:szCs w:val="20"/>
                <w:color w:val="auto"/>
              </w:rPr>
            </w:pPr>
            <w:r>
              <w:rPr>
                <w:rFonts w:ascii="Times New Roman" w:cs="Times New Roman" w:eastAsia="Times New Roman" w:hAnsi="Times New Roman"/>
                <w:sz w:val="16"/>
                <w:szCs w:val="16"/>
                <w:color w:val="auto"/>
              </w:rPr>
              <w:t>As of September 30,</w:t>
            </w:r>
          </w:p>
        </w:tc>
        <w:tc>
          <w:tcPr>
            <w:tcW w:w="180" w:type="dxa"/>
            <w:vAlign w:val="bottom"/>
          </w:tcPr>
          <w:p>
            <w:pPr>
              <w:spacing w:after="0"/>
              <w:rPr>
                <w:sz w:val="16"/>
                <w:szCs w:val="16"/>
                <w:color w:val="auto"/>
              </w:rPr>
            </w:pPr>
          </w:p>
        </w:tc>
        <w:tc>
          <w:tcPr>
            <w:tcW w:w="126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As of</w:t>
            </w:r>
          </w:p>
        </w:tc>
        <w:tc>
          <w:tcPr>
            <w:tcW w:w="0" w:type="dxa"/>
            <w:vAlign w:val="bottom"/>
          </w:tcPr>
          <w:p>
            <w:pPr>
              <w:spacing w:after="0"/>
              <w:rPr>
                <w:sz w:val="1"/>
                <w:szCs w:val="1"/>
                <w:color w:val="auto"/>
              </w:rPr>
            </w:pPr>
          </w:p>
        </w:tc>
      </w:tr>
      <w:tr>
        <w:trPr>
          <w:trHeight w:val="210"/>
        </w:trPr>
        <w:tc>
          <w:tcPr>
            <w:tcW w:w="6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5"/>
            <w:vMerge w:val="continue"/>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w w:val="99"/>
              </w:rPr>
              <w:t>2025</w:t>
            </w:r>
          </w:p>
        </w:tc>
        <w:tc>
          <w:tcPr>
            <w:tcW w:w="0" w:type="dxa"/>
            <w:vAlign w:val="bottom"/>
          </w:tcPr>
          <w:p>
            <w:pPr>
              <w:spacing w:after="0"/>
              <w:rPr>
                <w:sz w:val="1"/>
                <w:szCs w:val="1"/>
                <w:color w:val="auto"/>
              </w:rPr>
            </w:pPr>
          </w:p>
        </w:tc>
      </w:tr>
      <w:tr>
        <w:trPr>
          <w:trHeight w:val="21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receivables, gross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250,631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298,081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283,514</w:t>
            </w:r>
          </w:p>
        </w:tc>
        <w:tc>
          <w:tcPr>
            <w:tcW w:w="0" w:type="dxa"/>
            <w:vAlign w:val="bottom"/>
          </w:tcPr>
          <w:p>
            <w:pPr>
              <w:spacing w:after="0"/>
              <w:rPr>
                <w:sz w:val="1"/>
                <w:szCs w:val="1"/>
                <w:color w:val="auto"/>
              </w:rPr>
            </w:pPr>
          </w:p>
        </w:tc>
      </w:tr>
      <w:tr>
        <w:trPr>
          <w:trHeight w:val="214"/>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Merchant partner discounts and premiums, net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(24,798)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(22,728)</w:t>
            </w:r>
          </w:p>
        </w:tc>
        <w:tc>
          <w:tcPr>
            <w:tcW w:w="0" w:type="dxa"/>
            <w:vAlign w:val="bottom"/>
          </w:tcPr>
          <w:p>
            <w:pPr>
              <w:spacing w:after="0"/>
              <w:rPr>
                <w:sz w:val="1"/>
                <w:szCs w:val="1"/>
                <w:color w:val="auto"/>
              </w:rPr>
            </w:pPr>
          </w:p>
        </w:tc>
      </w:tr>
      <w:tr>
        <w:trPr>
          <w:trHeight w:val="218"/>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Unearned origination fees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(2,887)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(4,186)</w:t>
            </w:r>
          </w:p>
        </w:tc>
        <w:tc>
          <w:tcPr>
            <w:tcW w:w="0" w:type="dxa"/>
            <w:vAlign w:val="bottom"/>
          </w:tcPr>
          <w:p>
            <w:pPr>
              <w:spacing w:after="0"/>
              <w:rPr>
                <w:sz w:val="1"/>
                <w:szCs w:val="1"/>
                <w:color w:val="auto"/>
              </w:rPr>
            </w:pPr>
          </w:p>
        </w:tc>
      </w:tr>
      <w:tr>
        <w:trPr>
          <w:trHeight w:val="208"/>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receivables, amortized cost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222,946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268,855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256,600</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Less allowance for loan losses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(98,831)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(115,721)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(106,326)</w:t>
            </w:r>
          </w:p>
        </w:tc>
        <w:tc>
          <w:tcPr>
            <w:tcW w:w="0" w:type="dxa"/>
            <w:vAlign w:val="bottom"/>
          </w:tcPr>
          <w:p>
            <w:pPr>
              <w:spacing w:after="0"/>
              <w:rPr>
                <w:sz w:val="1"/>
                <w:szCs w:val="1"/>
                <w:color w:val="auto"/>
              </w:rPr>
            </w:pPr>
          </w:p>
        </w:tc>
      </w:tr>
      <w:tr>
        <w:trPr>
          <w:trHeight w:val="211"/>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receivables, net</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124,115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153,134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150,274</w:t>
            </w: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changes in the allowance for loan losses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5"/>
          </w:tcPr>
          <w:p>
            <w:pPr>
              <w:ind w:left="480"/>
              <w:spacing w:after="0"/>
              <w:rPr>
                <w:sz w:val="20"/>
                <w:szCs w:val="20"/>
                <w:color w:val="auto"/>
              </w:rPr>
            </w:pPr>
            <w:r>
              <w:rPr>
                <w:rFonts w:ascii="Times New Roman" w:cs="Times New Roman" w:eastAsia="Times New Roman" w:hAnsi="Times New Roman"/>
                <w:sz w:val="16"/>
                <w:szCs w:val="16"/>
                <w:color w:val="auto"/>
              </w:rPr>
              <w:t>Three Months Ended</w:t>
            </w:r>
          </w:p>
        </w:tc>
        <w:tc>
          <w:tcPr>
            <w:tcW w:w="340" w:type="dxa"/>
            <w:vAlign w:val="bottom"/>
          </w:tcPr>
          <w:p>
            <w:pPr>
              <w:spacing w:after="0"/>
              <w:rPr>
                <w:sz w:val="18"/>
                <w:szCs w:val="18"/>
                <w:color w:val="auto"/>
              </w:rPr>
            </w:pPr>
          </w:p>
        </w:tc>
        <w:tc>
          <w:tcPr>
            <w:tcW w:w="2640" w:type="dxa"/>
            <w:vAlign w:val="bottom"/>
            <w:gridSpan w:val="4"/>
          </w:tcPr>
          <w:p>
            <w:pPr>
              <w:jc w:val="right"/>
              <w:ind w:right="75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19"/>
        </w:trPr>
        <w:tc>
          <w:tcPr>
            <w:tcW w:w="5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September 30,</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September 30,</w:t>
            </w:r>
          </w:p>
        </w:tc>
        <w:tc>
          <w:tcPr>
            <w:tcW w:w="940" w:type="dxa"/>
            <w:vAlign w:val="bottom"/>
            <w:tcBorders>
              <w:bottom w:val="single" w:sz="8" w:color="auto"/>
            </w:tcBorders>
          </w:tcPr>
          <w:p>
            <w:pPr>
              <w:spacing w:after="0"/>
              <w:rPr>
                <w:sz w:val="19"/>
                <w:szCs w:val="19"/>
                <w:color w:val="auto"/>
              </w:rPr>
            </w:pPr>
          </w:p>
        </w:tc>
      </w:tr>
      <w:tr>
        <w:trPr>
          <w:trHeight w:val="211"/>
        </w:trPr>
        <w:tc>
          <w:tcPr>
            <w:tcW w:w="5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2025</w:t>
            </w:r>
          </w:p>
        </w:tc>
      </w:tr>
      <w:tr>
        <w:trPr>
          <w:trHeight w:val="211"/>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105,006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106,326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117,005</w:t>
            </w:r>
          </w:p>
        </w:tc>
      </w:tr>
      <w:tr>
        <w:trPr>
          <w:trHeight w:val="216"/>
        </w:trPr>
        <w:tc>
          <w:tcPr>
            <w:tcW w:w="520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Provision for loan losses </w:t>
            </w:r>
            <w:r>
              <w:rPr>
                <w:rFonts w:ascii="Times New Roman" w:cs="Times New Roman" w:eastAsia="Times New Roman" w:hAnsi="Times New Roman"/>
                <w:sz w:val="21"/>
                <w:szCs w:val="21"/>
                <w:color w:val="auto"/>
                <w:vertAlign w:val="superscript"/>
              </w:rPr>
              <w:t>(1)</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29,031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96,731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113,678</w:t>
            </w:r>
          </w:p>
        </w:tc>
      </w:tr>
      <w:tr>
        <w:trPr>
          <w:trHeight w:val="216"/>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Charge-offs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(39,166)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(116,130)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(124,202)</w:t>
            </w:r>
          </w:p>
        </w:tc>
      </w:tr>
      <w:tr>
        <w:trPr>
          <w:trHeight w:val="214"/>
        </w:trPr>
        <w:tc>
          <w:tcPr>
            <w:tcW w:w="5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Recoveries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3,960</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11,904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9,240</w:t>
            </w:r>
          </w:p>
        </w:tc>
      </w:tr>
      <w:tr>
        <w:trPr>
          <w:trHeight w:val="236"/>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98,831</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115,721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98,831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115,721</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left="340" w:hanging="332"/>
        <w:spacing w:after="0" w:line="247" w:lineRule="auto"/>
        <w:tabs>
          <w:tab w:leader="none" w:pos="328"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During the third quarter of 2025, the Company’s retail POS payment solutions business (American First Finance or “AFF”) began assisting certain customers in applying for a direct-to-consumer unsecured installment loan that is underwritten and fully retained by AFF’s bank partner (“OBS Loan”). OBS Loans are not reflected on the Company’s balance sheet as a finance receivable. The provision for loan losses presented on the consolidated statement of income for the three and nine months ended September 30, 2026 includes an additional $11.8 million and $26.8 million, respectively, of provision expense related to OBS Loans in which AFF is responsible for reimbursing the bank partner for certain charge-offs, which the Company is required to recognize a liability for at inception. The provision for loan losses presented on the consolidated statement of income for both the three and nine months ended September 30, 2025 includes an additional $4.8 million of provision expense related to OBS Loans in which AFF is responsible for reimbursing the bank partner for certain charge-offs, which the Company is required to recognize a liability for at inception. See the “OBS Loans” section in Note 9.</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following is an assessment of the credit quality indicators of the amortized cost of finance receivables as of September 30, 2026 and 2025, by origination year (in thousands):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Origination Year</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Total</w:t>
            </w: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auto"/>
            </w:tcBorders>
            <w:gridSpan w:val="2"/>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As of September 30, 2026</w:t>
            </w:r>
          </w:p>
        </w:tc>
        <w:tc>
          <w:tcPr>
            <w:tcW w:w="34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Delinquency:</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1 to 30 days past due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24,445</w:t>
            </w:r>
          </w:p>
        </w:tc>
      </w:tr>
      <w:tr>
        <w:trPr>
          <w:trHeight w:val="213"/>
        </w:trPr>
        <w:tc>
          <w:tcPr>
            <w:tcW w:w="20" w:type="dxa"/>
            <w:vAlign w:val="bottom"/>
          </w:tcPr>
          <w:p>
            <w:pPr>
              <w:spacing w:after="0"/>
              <w:rPr>
                <w:sz w:val="18"/>
                <w:szCs w:val="18"/>
                <w:color w:val="auto"/>
              </w:rPr>
            </w:pPr>
          </w:p>
        </w:tc>
        <w:tc>
          <w:tcPr>
            <w:tcW w:w="51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31 to 60 days past due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13,964</w:t>
            </w:r>
          </w:p>
        </w:tc>
      </w:tr>
      <w:tr>
        <w:trPr>
          <w:trHeight w:val="219"/>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ind w:left="160"/>
              <w:spacing w:after="0" w:line="219" w:lineRule="exact"/>
              <w:rPr>
                <w:sz w:val="20"/>
                <w:szCs w:val="20"/>
                <w:color w:val="auto"/>
              </w:rPr>
            </w:pPr>
            <w:r>
              <w:rPr>
                <w:rFonts w:ascii="Times New Roman" w:cs="Times New Roman" w:eastAsia="Times New Roman" w:hAnsi="Times New Roman"/>
                <w:sz w:val="16"/>
                <w:szCs w:val="16"/>
                <w:color w:val="auto"/>
              </w:rPr>
              <w:t xml:space="preserve">61 to 89 days past due </w:t>
            </w:r>
            <w:r>
              <w:rPr>
                <w:rFonts w:ascii="Times New Roman" w:cs="Times New Roman" w:eastAsia="Times New Roman" w:hAnsi="Times New Roman"/>
                <w:sz w:val="21"/>
                <w:szCs w:val="21"/>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13,493</w:t>
            </w:r>
          </w:p>
        </w:tc>
      </w:tr>
      <w:tr>
        <w:trPr>
          <w:trHeight w:val="207"/>
        </w:trPr>
        <w:tc>
          <w:tcPr>
            <w:tcW w:w="20" w:type="dxa"/>
            <w:vAlign w:val="bottom"/>
          </w:tcPr>
          <w:p>
            <w:pPr>
              <w:spacing w:after="0"/>
              <w:rPr>
                <w:sz w:val="17"/>
                <w:szCs w:val="17"/>
                <w:color w:val="auto"/>
              </w:rPr>
            </w:pPr>
          </w:p>
        </w:tc>
        <w:tc>
          <w:tcPr>
            <w:tcW w:w="5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Total past due finance receivables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38,283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51,902</w:t>
            </w:r>
          </w:p>
        </w:tc>
      </w:tr>
      <w:tr>
        <w:trPr>
          <w:trHeight w:val="216"/>
        </w:trPr>
        <w:tc>
          <w:tcPr>
            <w:tcW w:w="20" w:type="dxa"/>
            <w:vAlign w:val="bottom"/>
            <w:shd w:val="clear" w:color="auto" w:fill="CCEEFF"/>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finance receivables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133,818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36,052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171,044</w:t>
            </w:r>
          </w:p>
        </w:tc>
      </w:tr>
      <w:tr>
        <w:trPr>
          <w:trHeight w:val="212"/>
        </w:trPr>
        <w:tc>
          <w:tcPr>
            <w:tcW w:w="2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Finance receivables, amortized cost</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172,101</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49,052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222,946</w:t>
            </w:r>
          </w:p>
        </w:tc>
      </w:tr>
      <w:tr>
        <w:trPr>
          <w:trHeight w:val="21"/>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717"/>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Origination Year</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Total</w:t>
            </w:r>
          </w:p>
        </w:tc>
      </w:tr>
      <w:tr>
        <w:trPr>
          <w:trHeight w:val="179"/>
        </w:trPr>
        <w:tc>
          <w:tcPr>
            <w:tcW w:w="20" w:type="dxa"/>
            <w:vAlign w:val="bottom"/>
            <w:shd w:val="clear" w:color="auto" w:fill="CCEEFF"/>
          </w:tcPr>
          <w:p>
            <w:pPr>
              <w:spacing w:after="0"/>
              <w:rPr>
                <w:sz w:val="15"/>
                <w:szCs w:val="15"/>
                <w:color w:val="auto"/>
              </w:rPr>
            </w:pPr>
          </w:p>
        </w:tc>
        <w:tc>
          <w:tcPr>
            <w:tcW w:w="5180" w:type="dxa"/>
            <w:vAlign w:val="bottom"/>
            <w:gridSpan w:val="3"/>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As of September 30, 2025</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1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Delinquency:</w:t>
            </w:r>
          </w:p>
        </w:tc>
        <w:tc>
          <w:tcPr>
            <w:tcW w:w="3480" w:type="dxa"/>
            <w:vAlign w:val="bottom"/>
            <w:tcBorders>
              <w:top w:val="single" w:sz="8" w:color="CCEEFF"/>
            </w:tcBorders>
            <w:gridSpan w:val="2"/>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1 to 30 days past due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28,570</w:t>
            </w:r>
          </w:p>
        </w:tc>
      </w:tr>
      <w:tr>
        <w:trPr>
          <w:trHeight w:val="213"/>
        </w:trPr>
        <w:tc>
          <w:tcPr>
            <w:tcW w:w="20" w:type="dxa"/>
            <w:vAlign w:val="bottom"/>
          </w:tcPr>
          <w:p>
            <w:pPr>
              <w:spacing w:after="0"/>
              <w:rPr>
                <w:sz w:val="18"/>
                <w:szCs w:val="18"/>
                <w:color w:val="auto"/>
              </w:rPr>
            </w:pPr>
          </w:p>
        </w:tc>
        <w:tc>
          <w:tcPr>
            <w:tcW w:w="51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31 to 60 days past due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18,290</w:t>
            </w:r>
          </w:p>
        </w:tc>
      </w:tr>
      <w:tr>
        <w:trPr>
          <w:trHeight w:val="219"/>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ind w:left="160"/>
              <w:spacing w:after="0" w:line="219" w:lineRule="exact"/>
              <w:rPr>
                <w:sz w:val="20"/>
                <w:szCs w:val="20"/>
                <w:color w:val="auto"/>
              </w:rPr>
            </w:pPr>
            <w:r>
              <w:rPr>
                <w:rFonts w:ascii="Times New Roman" w:cs="Times New Roman" w:eastAsia="Times New Roman" w:hAnsi="Times New Roman"/>
                <w:sz w:val="16"/>
                <w:szCs w:val="16"/>
                <w:color w:val="auto"/>
              </w:rPr>
              <w:t xml:space="preserve">61 to 89 days past due </w:t>
            </w:r>
            <w:r>
              <w:rPr>
                <w:rFonts w:ascii="Times New Roman" w:cs="Times New Roman" w:eastAsia="Times New Roman" w:hAnsi="Times New Roman"/>
                <w:sz w:val="21"/>
                <w:szCs w:val="21"/>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14,437</w:t>
            </w:r>
          </w:p>
        </w:tc>
      </w:tr>
      <w:tr>
        <w:trPr>
          <w:trHeight w:val="207"/>
        </w:trPr>
        <w:tc>
          <w:tcPr>
            <w:tcW w:w="20" w:type="dxa"/>
            <w:vAlign w:val="bottom"/>
          </w:tcPr>
          <w:p>
            <w:pPr>
              <w:spacing w:after="0"/>
              <w:rPr>
                <w:sz w:val="17"/>
                <w:szCs w:val="17"/>
                <w:color w:val="auto"/>
              </w:rPr>
            </w:pPr>
          </w:p>
        </w:tc>
        <w:tc>
          <w:tcPr>
            <w:tcW w:w="5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Total past due finance receivables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46,416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61,297</w:t>
            </w:r>
          </w:p>
        </w:tc>
      </w:tr>
      <w:tr>
        <w:trPr>
          <w:trHeight w:val="216"/>
        </w:trPr>
        <w:tc>
          <w:tcPr>
            <w:tcW w:w="20" w:type="dxa"/>
            <w:vAlign w:val="bottom"/>
            <w:shd w:val="clear" w:color="auto" w:fill="CCEEFF"/>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finance receivables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163,697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43,056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207,558</w:t>
            </w:r>
          </w:p>
        </w:tc>
      </w:tr>
      <w:tr>
        <w:trPr>
          <w:trHeight w:val="212"/>
        </w:trPr>
        <w:tc>
          <w:tcPr>
            <w:tcW w:w="2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Finance receivables, amortized cost</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210,113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57,523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268,855</w:t>
            </w: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charges off finance receivables when a receivable is 90 days or more contractually past due.</w:t>
      </w:r>
    </w:p>
    <w:p>
      <w:pPr>
        <w:spacing w:after="0" w:line="23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details the gross charge-offs of finance receivables for the nine months ended September 30, 2026 and 2025, by origination year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6"/>
                <w:szCs w:val="16"/>
                <w:color w:val="auto"/>
              </w:rPr>
              <w:t>Origination Year</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9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receivables gross charge-offs: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8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b w:val="1"/>
                <w:bCs w:val="1"/>
                <w:color w:val="auto"/>
              </w:rPr>
              <w:t>Gross charge-offs during the nine months ended September 30,</w:t>
            </w: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33,602</w:t>
            </w:r>
          </w:p>
        </w:tc>
        <w:tc>
          <w:tcPr>
            <w:tcW w:w="120" w:type="dxa"/>
            <w:vAlign w:val="bottom"/>
          </w:tcPr>
          <w:p>
            <w:pPr>
              <w:spacing w:after="0"/>
              <w:rPr>
                <w:sz w:val="14"/>
                <w:szCs w:val="14"/>
                <w:color w:val="auto"/>
              </w:rPr>
            </w:pP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74,489</w:t>
            </w:r>
          </w:p>
        </w:tc>
        <w:tc>
          <w:tcPr>
            <w:tcW w:w="100" w:type="dxa"/>
            <w:vAlign w:val="bottom"/>
          </w:tcPr>
          <w:p>
            <w:pPr>
              <w:spacing w:after="0"/>
              <w:rPr>
                <w:sz w:val="14"/>
                <w:szCs w:val="14"/>
                <w:color w:val="auto"/>
              </w:rPr>
            </w:pPr>
          </w:p>
        </w:tc>
        <w:tc>
          <w:tcPr>
            <w:tcW w:w="2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8,039</w:t>
            </w:r>
          </w:p>
        </w:tc>
        <w:tc>
          <w:tcPr>
            <w:tcW w:w="100" w:type="dxa"/>
            <w:vAlign w:val="bottom"/>
          </w:tcPr>
          <w:p>
            <w:pPr>
              <w:spacing w:after="0"/>
              <w:rPr>
                <w:sz w:val="14"/>
                <w:szCs w:val="14"/>
                <w:color w:val="auto"/>
              </w:rPr>
            </w:pP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gridSpan w:val="3"/>
            <w:vMerge w:val="restart"/>
          </w:tcPr>
          <w:p>
            <w:pPr>
              <w:ind w:left="700"/>
              <w:spacing w:after="0"/>
              <w:rPr>
                <w:sz w:val="20"/>
                <w:szCs w:val="20"/>
                <w:color w:val="auto"/>
              </w:rPr>
            </w:pPr>
            <w:r>
              <w:rPr>
                <w:rFonts w:ascii="Times New Roman" w:cs="Times New Roman" w:eastAsia="Times New Roman" w:hAnsi="Times New Roman"/>
                <w:sz w:val="16"/>
                <w:szCs w:val="16"/>
                <w:b w:val="1"/>
                <w:bCs w:val="1"/>
                <w:color w:val="auto"/>
              </w:rPr>
              <w:t>—  $</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116,130</w:t>
            </w:r>
          </w:p>
        </w:tc>
        <w:tc>
          <w:tcPr>
            <w:tcW w:w="0" w:type="dxa"/>
            <w:vAlign w:val="bottom"/>
          </w:tcPr>
          <w:p>
            <w:pPr>
              <w:spacing w:after="0"/>
              <w:rPr>
                <w:sz w:val="1"/>
                <w:szCs w:val="1"/>
                <w:color w:val="auto"/>
              </w:rPr>
            </w:pPr>
          </w:p>
        </w:tc>
      </w:tr>
      <w:tr>
        <w:trPr>
          <w:trHeight w:val="214"/>
        </w:trPr>
        <w:tc>
          <w:tcPr>
            <w:tcW w:w="4840" w:type="dxa"/>
            <w:vAlign w:val="bottom"/>
          </w:tcPr>
          <w:p>
            <w:pPr>
              <w:jc w:val="right"/>
              <w:ind w:right="40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48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Gross charge-offs during the nine months ended September 30, 2025</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37,469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Leased Merchandise,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Leased merchandise, net consists of the following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2540" w:type="dxa"/>
            <w:vAlign w:val="bottom"/>
            <w:gridSpan w:val="4"/>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As of September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w w:val="96"/>
              </w:rPr>
              <w:t>As of</w:t>
            </w:r>
          </w:p>
        </w:tc>
        <w:tc>
          <w:tcPr>
            <w:tcW w:w="0" w:type="dxa"/>
            <w:vAlign w:val="bottom"/>
          </w:tcPr>
          <w:p>
            <w:pPr>
              <w:spacing w:after="0"/>
              <w:rPr>
                <w:sz w:val="1"/>
                <w:szCs w:val="1"/>
                <w:color w:val="auto"/>
              </w:rPr>
            </w:pPr>
          </w:p>
        </w:tc>
      </w:tr>
      <w:tr>
        <w:trPr>
          <w:trHeight w:val="210"/>
        </w:trPr>
        <w:tc>
          <w:tcPr>
            <w:tcW w:w="6460" w:type="dxa"/>
            <w:vAlign w:val="bottom"/>
          </w:tcPr>
          <w:p>
            <w:pPr>
              <w:spacing w:after="0"/>
              <w:rPr>
                <w:sz w:val="18"/>
                <w:szCs w:val="18"/>
                <w:color w:val="auto"/>
              </w:rPr>
            </w:pPr>
          </w:p>
        </w:tc>
        <w:tc>
          <w:tcPr>
            <w:tcW w:w="2540" w:type="dxa"/>
            <w:vAlign w:val="bottom"/>
            <w:tcBorders>
              <w:bottom w:val="single" w:sz="8" w:color="auto"/>
            </w:tcBorders>
            <w:gridSpan w:val="4"/>
            <w:vMerge w:val="continue"/>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13"/>
        </w:trPr>
        <w:tc>
          <w:tcPr>
            <w:tcW w:w="64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r>
        <w:trPr>
          <w:trHeight w:val="211"/>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merchandise</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182,768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242,961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252,064</w:t>
            </w:r>
          </w:p>
        </w:tc>
        <w:tc>
          <w:tcPr>
            <w:tcW w:w="0" w:type="dxa"/>
            <w:vAlign w:val="bottom"/>
          </w:tcPr>
          <w:p>
            <w:pPr>
              <w:spacing w:after="0"/>
              <w:rPr>
                <w:sz w:val="1"/>
                <w:szCs w:val="1"/>
                <w:color w:val="auto"/>
              </w:rPr>
            </w:pPr>
          </w:p>
        </w:tc>
      </w:tr>
      <w:tr>
        <w:trPr>
          <w:trHeight w:val="214"/>
        </w:trPr>
        <w:tc>
          <w:tcPr>
            <w:tcW w:w="6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Processing fees</w:t>
            </w: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(1,433)</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w:t>
            </w:r>
          </w:p>
        </w:tc>
        <w:tc>
          <w:tcPr>
            <w:tcW w:w="0" w:type="dxa"/>
            <w:vAlign w:val="bottom"/>
          </w:tcPr>
          <w:p>
            <w:pPr>
              <w:spacing w:after="0"/>
              <w:rPr>
                <w:sz w:val="1"/>
                <w:szCs w:val="1"/>
                <w:color w:val="auto"/>
              </w:rPr>
            </w:pPr>
          </w:p>
        </w:tc>
      </w:tr>
      <w:tr>
        <w:trPr>
          <w:trHeight w:val="218"/>
        </w:trPr>
        <w:tc>
          <w:tcPr>
            <w:tcW w:w="6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Merchant partner (discounts) and premiums, net</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14"/>
        </w:trPr>
        <w:tc>
          <w:tcPr>
            <w:tcW w:w="64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Accumulated depreciation</w:t>
            </w: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(58,681)</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(77,457)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(70,650)</w:t>
            </w:r>
          </w:p>
        </w:tc>
        <w:tc>
          <w:tcPr>
            <w:tcW w:w="0" w:type="dxa"/>
            <w:vAlign w:val="bottom"/>
          </w:tcPr>
          <w:p>
            <w:pPr>
              <w:spacing w:after="0"/>
              <w:rPr>
                <w:sz w:val="1"/>
                <w:szCs w:val="1"/>
                <w:color w:val="auto"/>
              </w:rPr>
            </w:pPr>
          </w:p>
        </w:tc>
      </w:tr>
      <w:tr>
        <w:trPr>
          <w:trHeight w:val="211"/>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merchandise, before allowance for lease losses</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122,572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163,766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178,999</w:t>
            </w:r>
          </w:p>
        </w:tc>
        <w:tc>
          <w:tcPr>
            <w:tcW w:w="0" w:type="dxa"/>
            <w:vAlign w:val="bottom"/>
          </w:tcPr>
          <w:p>
            <w:pPr>
              <w:spacing w:after="0"/>
              <w:rPr>
                <w:sz w:val="1"/>
                <w:szCs w:val="1"/>
                <w:color w:val="auto"/>
              </w:rPr>
            </w:pPr>
          </w:p>
        </w:tc>
      </w:tr>
      <w:tr>
        <w:trPr>
          <w:trHeight w:val="214"/>
        </w:trPr>
        <w:tc>
          <w:tcPr>
            <w:tcW w:w="64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Less allowance for lease losses</w:t>
            </w: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(47,867)</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(64,041)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(64,716)</w:t>
            </w:r>
          </w:p>
        </w:tc>
        <w:tc>
          <w:tcPr>
            <w:tcW w:w="0" w:type="dxa"/>
            <w:vAlign w:val="bottom"/>
          </w:tcPr>
          <w:p>
            <w:pPr>
              <w:spacing w:after="0"/>
              <w:rPr>
                <w:sz w:val="1"/>
                <w:szCs w:val="1"/>
                <w:color w:val="auto"/>
              </w:rPr>
            </w:pPr>
          </w:p>
        </w:tc>
      </w:tr>
      <w:tr>
        <w:trPr>
          <w:trHeight w:val="236"/>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merchandise, net</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74,705</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99,725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114,283</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changes in the allowance for lease losses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5"/>
          </w:tcPr>
          <w:p>
            <w:pPr>
              <w:ind w:left="480"/>
              <w:spacing w:after="0"/>
              <w:rPr>
                <w:sz w:val="20"/>
                <w:szCs w:val="20"/>
                <w:color w:val="auto"/>
              </w:rPr>
            </w:pPr>
            <w:r>
              <w:rPr>
                <w:rFonts w:ascii="Times New Roman" w:cs="Times New Roman" w:eastAsia="Times New Roman" w:hAnsi="Times New Roman"/>
                <w:sz w:val="16"/>
                <w:szCs w:val="16"/>
                <w:color w:val="auto"/>
              </w:rPr>
              <w:t>Three Months Ended</w:t>
            </w:r>
          </w:p>
        </w:tc>
        <w:tc>
          <w:tcPr>
            <w:tcW w:w="340" w:type="dxa"/>
            <w:vAlign w:val="bottom"/>
          </w:tcPr>
          <w:p>
            <w:pPr>
              <w:spacing w:after="0"/>
              <w:rPr>
                <w:sz w:val="18"/>
                <w:szCs w:val="18"/>
                <w:color w:val="auto"/>
              </w:rPr>
            </w:pPr>
          </w:p>
        </w:tc>
        <w:tc>
          <w:tcPr>
            <w:tcW w:w="2640" w:type="dxa"/>
            <w:vAlign w:val="bottom"/>
            <w:gridSpan w:val="4"/>
          </w:tcPr>
          <w:p>
            <w:pPr>
              <w:jc w:val="right"/>
              <w:ind w:right="75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19"/>
        </w:trPr>
        <w:tc>
          <w:tcPr>
            <w:tcW w:w="5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September 30,</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September 30,</w:t>
            </w:r>
          </w:p>
        </w:tc>
        <w:tc>
          <w:tcPr>
            <w:tcW w:w="940" w:type="dxa"/>
            <w:vAlign w:val="bottom"/>
            <w:tcBorders>
              <w:bottom w:val="single" w:sz="8" w:color="auto"/>
            </w:tcBorders>
          </w:tcPr>
          <w:p>
            <w:pPr>
              <w:spacing w:after="0"/>
              <w:rPr>
                <w:sz w:val="19"/>
                <w:szCs w:val="19"/>
                <w:color w:val="auto"/>
              </w:rPr>
            </w:pPr>
          </w:p>
        </w:tc>
      </w:tr>
      <w:tr>
        <w:trPr>
          <w:trHeight w:val="211"/>
        </w:trPr>
        <w:tc>
          <w:tcPr>
            <w:tcW w:w="5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2025</w:t>
            </w:r>
          </w:p>
        </w:tc>
      </w:tr>
      <w:tr>
        <w:trPr>
          <w:trHeight w:val="211"/>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56,933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64,716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80,257</w:t>
            </w:r>
          </w:p>
        </w:tc>
      </w:tr>
      <w:tr>
        <w:trPr>
          <w:trHeight w:val="214"/>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Provision for lease losses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17,021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71,204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88,025</w:t>
            </w:r>
          </w:p>
        </w:tc>
      </w:tr>
      <w:tr>
        <w:trPr>
          <w:trHeight w:val="218"/>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Charge-offs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(28,333)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(95,191)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(110,196)</w:t>
            </w:r>
          </w:p>
        </w:tc>
      </w:tr>
      <w:tr>
        <w:trPr>
          <w:trHeight w:val="214"/>
        </w:trPr>
        <w:tc>
          <w:tcPr>
            <w:tcW w:w="5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Recoveries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2,246</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7,138</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5,955</w:t>
            </w:r>
          </w:p>
        </w:tc>
      </w:tr>
      <w:tr>
        <w:trPr>
          <w:trHeight w:val="236"/>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47,867</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64,041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47,867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64,041</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Long-Term Debt</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details the Company’s long-term debt at the respective principal amounts, net of unamortized debt issuance costs on the senior unsecured notes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As of September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As of</w:t>
            </w:r>
          </w:p>
        </w:tc>
        <w:tc>
          <w:tcPr>
            <w:tcW w:w="0" w:type="dxa"/>
            <w:vAlign w:val="bottom"/>
          </w:tcPr>
          <w:p>
            <w:pPr>
              <w:spacing w:after="0"/>
              <w:rPr>
                <w:sz w:val="1"/>
                <w:szCs w:val="1"/>
                <w:color w:val="auto"/>
              </w:rPr>
            </w:pPr>
          </w:p>
        </w:tc>
      </w:tr>
      <w:tr>
        <w:trPr>
          <w:trHeight w:val="210"/>
        </w:trPr>
        <w:tc>
          <w:tcPr>
            <w:tcW w:w="6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vMerge w:val="continue"/>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13"/>
        </w:trPr>
        <w:tc>
          <w:tcPr>
            <w:tcW w:w="6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w w:val="99"/>
              </w:rPr>
              <w:t>2025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w w:val="99"/>
              </w:rPr>
              <w:t>2025</w:t>
            </w:r>
          </w:p>
        </w:tc>
        <w:tc>
          <w:tcPr>
            <w:tcW w:w="0" w:type="dxa"/>
            <w:vAlign w:val="bottom"/>
          </w:tcPr>
          <w:p>
            <w:pPr>
              <w:spacing w:after="0"/>
              <w:rPr>
                <w:sz w:val="1"/>
                <w:szCs w:val="1"/>
                <w:color w:val="auto"/>
              </w:rPr>
            </w:pPr>
          </w:p>
        </w:tc>
      </w:tr>
      <w:tr>
        <w:trPr>
          <w:trHeight w:val="198"/>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credit facilities: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Revolving unsecured credit facility, maturing 2031 </w:t>
            </w:r>
            <w:r>
              <w:rPr>
                <w:rFonts w:ascii="Times New Roman" w:cs="Times New Roman" w:eastAsia="Times New Roman" w:hAnsi="Times New Roman"/>
                <w:sz w:val="21"/>
                <w:szCs w:val="21"/>
                <w:color w:val="auto"/>
                <w:vertAlign w:val="superscript"/>
              </w:rPr>
              <w:t>(1)</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169,000</w:t>
            </w:r>
          </w:p>
        </w:tc>
        <w:tc>
          <w:tcPr>
            <w:tcW w:w="100" w:type="dxa"/>
            <w:vAlign w:val="bottom"/>
          </w:tcPr>
          <w:p>
            <w:pPr>
              <w:spacing w:after="0"/>
              <w:rPr>
                <w:sz w:val="18"/>
                <w:szCs w:val="18"/>
                <w:color w:val="auto"/>
              </w:rPr>
            </w:pPr>
          </w:p>
        </w:tc>
        <w:tc>
          <w:tcPr>
            <w:tcW w:w="6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575,000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559,000</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Revolving secured credit facility, maturing 2027 </w:t>
            </w:r>
            <w:r>
              <w:rPr>
                <w:rFonts w:ascii="Times New Roman" w:cs="Times New Roman" w:eastAsia="Times New Roman" w:hAnsi="Times New Roman"/>
                <w:sz w:val="21"/>
                <w:szCs w:val="21"/>
                <w:color w:val="auto"/>
                <w:vertAlign w:val="superscript"/>
              </w:rPr>
              <w:t>(2)</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54,476</w:t>
            </w:r>
          </w:p>
        </w:tc>
        <w:tc>
          <w:tcPr>
            <w:tcW w:w="0" w:type="dxa"/>
            <w:vAlign w:val="bottom"/>
          </w:tcPr>
          <w:p>
            <w:pPr>
              <w:spacing w:after="0"/>
              <w:rPr>
                <w:sz w:val="1"/>
                <w:szCs w:val="1"/>
                <w:color w:val="auto"/>
              </w:rPr>
            </w:pPr>
          </w:p>
        </w:tc>
      </w:tr>
      <w:tr>
        <w:trPr>
          <w:trHeight w:val="216"/>
        </w:trPr>
        <w:tc>
          <w:tcPr>
            <w:tcW w:w="624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Revolving unsecured uncommitted credit facility, maturing 2027 </w:t>
            </w:r>
            <w:r>
              <w:rPr>
                <w:rFonts w:ascii="Times New Roman" w:cs="Times New Roman" w:eastAsia="Times New Roman" w:hAnsi="Times New Roman"/>
                <w:sz w:val="21"/>
                <w:szCs w:val="21"/>
                <w:color w:val="auto"/>
                <w:vertAlign w:val="superscript"/>
              </w:rPr>
              <w:t>(1)</w:t>
            </w: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revolving credit facilities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169,000</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618,886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613,476</w:t>
            </w:r>
          </w:p>
        </w:tc>
        <w:tc>
          <w:tcPr>
            <w:tcW w:w="0" w:type="dxa"/>
            <w:vAlign w:val="bottom"/>
          </w:tcPr>
          <w:p>
            <w:pPr>
              <w:spacing w:after="0"/>
              <w:rPr>
                <w:sz w:val="1"/>
                <w:szCs w:val="1"/>
                <w:color w:val="auto"/>
              </w:rPr>
            </w:pPr>
          </w:p>
        </w:tc>
      </w:tr>
      <w:tr>
        <w:trPr>
          <w:trHeight w:val="252"/>
        </w:trPr>
        <w:tc>
          <w:tcPr>
            <w:tcW w:w="6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Secured term loans: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Secured term loan, maturing 2027 </w:t>
            </w:r>
            <w:r>
              <w:rPr>
                <w:rFonts w:ascii="Times New Roman" w:cs="Times New Roman" w:eastAsia="Times New Roman" w:hAnsi="Times New Roman"/>
                <w:sz w:val="21"/>
                <w:szCs w:val="21"/>
                <w:color w:val="auto"/>
                <w:vertAlign w:val="superscript"/>
              </w:rPr>
              <w:t>(2)</w:t>
            </w: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26,902</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Secured term loan, maturing 2029 </w:t>
            </w:r>
            <w:r>
              <w:rPr>
                <w:rFonts w:ascii="Times New Roman" w:cs="Times New Roman" w:eastAsia="Times New Roman" w:hAnsi="Times New Roman"/>
                <w:sz w:val="21"/>
                <w:szCs w:val="21"/>
                <w:color w:val="auto"/>
                <w:vertAlign w:val="superscript"/>
              </w:rPr>
              <w:t>(2)</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13,451</w:t>
            </w:r>
          </w:p>
        </w:tc>
        <w:tc>
          <w:tcPr>
            <w:tcW w:w="0" w:type="dxa"/>
            <w:vAlign w:val="bottom"/>
          </w:tcPr>
          <w:p>
            <w:pPr>
              <w:spacing w:after="0"/>
              <w:rPr>
                <w:sz w:val="1"/>
                <w:szCs w:val="1"/>
                <w:color w:val="auto"/>
              </w:rPr>
            </w:pPr>
          </w:p>
        </w:tc>
      </w:tr>
      <w:tr>
        <w:trPr>
          <w:trHeight w:val="216"/>
        </w:trPr>
        <w:tc>
          <w:tcPr>
            <w:tcW w:w="624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Secured term loan, maturing 2031 </w:t>
            </w:r>
            <w:r>
              <w:rPr>
                <w:rFonts w:ascii="Times New Roman" w:cs="Times New Roman" w:eastAsia="Times New Roman" w:hAnsi="Times New Roman"/>
                <w:sz w:val="21"/>
                <w:szCs w:val="21"/>
                <w:color w:val="auto"/>
                <w:vertAlign w:val="superscript"/>
              </w:rPr>
              <w:t>(2)</w:t>
            </w: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20,177</w:t>
            </w:r>
          </w:p>
        </w:tc>
        <w:tc>
          <w:tcPr>
            <w:tcW w:w="0" w:type="dxa"/>
            <w:vAlign w:val="bottom"/>
          </w:tcPr>
          <w:p>
            <w:pPr>
              <w:spacing w:after="0"/>
              <w:rPr>
                <w:sz w:val="1"/>
                <w:szCs w:val="1"/>
                <w:color w:val="auto"/>
              </w:rPr>
            </w:pPr>
          </w:p>
        </w:tc>
      </w:tr>
      <w:tr>
        <w:trPr>
          <w:trHeight w:val="208"/>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secured term loans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60,579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60,530</w:t>
            </w:r>
          </w:p>
        </w:tc>
        <w:tc>
          <w:tcPr>
            <w:tcW w:w="0" w:type="dxa"/>
            <w:vAlign w:val="bottom"/>
          </w:tcPr>
          <w:p>
            <w:pPr>
              <w:spacing w:after="0"/>
              <w:rPr>
                <w:sz w:val="1"/>
                <w:szCs w:val="1"/>
                <w:color w:val="auto"/>
              </w:rPr>
            </w:pPr>
          </w:p>
        </w:tc>
      </w:tr>
      <w:tr>
        <w:trPr>
          <w:trHeight w:val="252"/>
        </w:trPr>
        <w:tc>
          <w:tcPr>
            <w:tcW w:w="6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unsecured notes: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4.625% senior unsecured notes due 2028 </w:t>
            </w:r>
            <w:r>
              <w:rPr>
                <w:rFonts w:ascii="Times New Roman" w:cs="Times New Roman" w:eastAsia="Times New Roman" w:hAnsi="Times New Roman"/>
                <w:sz w:val="21"/>
                <w:szCs w:val="21"/>
                <w:color w:val="auto"/>
                <w:vertAlign w:val="superscript"/>
              </w:rPr>
              <w:t>(3)</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497,590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496,419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496,706</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5.625% senior unsecured notes due 2030 </w:t>
            </w:r>
            <w:r>
              <w:rPr>
                <w:rFonts w:ascii="Times New Roman" w:cs="Times New Roman" w:eastAsia="Times New Roman" w:hAnsi="Times New Roman"/>
                <w:sz w:val="21"/>
                <w:szCs w:val="21"/>
                <w:color w:val="auto"/>
                <w:vertAlign w:val="superscript"/>
              </w:rPr>
              <w:t>(4)</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545,992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544,905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545,171</w:t>
            </w:r>
          </w:p>
        </w:tc>
        <w:tc>
          <w:tcPr>
            <w:tcW w:w="0" w:type="dxa"/>
            <w:vAlign w:val="bottom"/>
          </w:tcPr>
          <w:p>
            <w:pPr>
              <w:spacing w:after="0"/>
              <w:rPr>
                <w:sz w:val="1"/>
                <w:szCs w:val="1"/>
                <w:color w:val="auto"/>
              </w:rPr>
            </w:pPr>
          </w:p>
        </w:tc>
      </w:tr>
      <w:tr>
        <w:trPr>
          <w:trHeight w:val="216"/>
        </w:trPr>
        <w:tc>
          <w:tcPr>
            <w:tcW w:w="624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6.875% senior unsecured notes due 2032 </w:t>
            </w:r>
            <w:r>
              <w:rPr>
                <w:rFonts w:ascii="Times New Roman" w:cs="Times New Roman" w:eastAsia="Times New Roman" w:hAnsi="Times New Roman"/>
                <w:sz w:val="21"/>
                <w:szCs w:val="21"/>
                <w:color w:val="auto"/>
                <w:vertAlign w:val="superscript"/>
              </w:rPr>
              <w:t>(5)</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493,279</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492,317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492,551</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6.125% senior unsecured notes due 2034 </w:t>
            </w:r>
            <w:r>
              <w:rPr>
                <w:rFonts w:ascii="Times New Roman" w:cs="Times New Roman" w:eastAsia="Times New Roman" w:hAnsi="Times New Roman"/>
                <w:sz w:val="21"/>
                <w:szCs w:val="21"/>
                <w:color w:val="auto"/>
                <w:vertAlign w:val="superscript"/>
              </w:rPr>
              <w:t>(6)</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741,211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senior unsecured notes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2,278,072</w:t>
            </w:r>
          </w:p>
        </w:tc>
        <w:tc>
          <w:tcPr>
            <w:tcW w:w="10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1,533,641</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1,534,428</w:t>
            </w:r>
          </w:p>
        </w:tc>
        <w:tc>
          <w:tcPr>
            <w:tcW w:w="0" w:type="dxa"/>
            <w:vAlign w:val="bottom"/>
          </w:tcPr>
          <w:p>
            <w:pPr>
              <w:spacing w:after="0"/>
              <w:rPr>
                <w:sz w:val="1"/>
                <w:szCs w:val="1"/>
                <w:color w:val="auto"/>
              </w:rPr>
            </w:pPr>
          </w:p>
        </w:tc>
      </w:tr>
      <w:tr>
        <w:trPr>
          <w:trHeight w:val="252"/>
        </w:trPr>
        <w:tc>
          <w:tcPr>
            <w:tcW w:w="62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long-term debt</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2,447,072</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2,213,106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2,208,434</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Debt issuance costs related to the Company’s revolving unsecured credit facilities are included in other assets in the accompanying consolidated balance sheets.</w:t>
      </w:r>
    </w:p>
    <w:p>
      <w:pPr>
        <w:spacing w:after="0" w:line="190"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Assumed on August 14, 2025 in connection with the H&amp;T Acquisition and repaid and terminated during the nine months ended September 30, 2026.</w:t>
      </w:r>
    </w:p>
    <w:p>
      <w:pPr>
        <w:spacing w:after="0" w:line="221" w:lineRule="exact"/>
        <w:rPr>
          <w:rFonts w:ascii="Times New Roman" w:cs="Times New Roman" w:eastAsia="Times New Roman" w:hAnsi="Times New Roman"/>
          <w:sz w:val="21"/>
          <w:szCs w:val="21"/>
          <w:color w:val="auto"/>
          <w:vertAlign w:val="superscript"/>
        </w:rPr>
      </w:pPr>
    </w:p>
    <w:p>
      <w:pPr>
        <w:ind w:left="340" w:right="20" w:hanging="332"/>
        <w:spacing w:after="0" w:line="232" w:lineRule="auto"/>
        <w:tabs>
          <w:tab w:leader="none" w:pos="32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of September 30, 2026, September 30, 2025 and December 31, 2025, deferred debt issuance costs of $2.4 million, $3.6 million and $3.3 million, respectively, are included as a direct deduction from the carrying amount of the senior unsecured notes due 2028 in the accompanying consolidated balance sheets.</w:t>
      </w:r>
    </w:p>
    <w:p>
      <w:pPr>
        <w:spacing w:after="0" w:line="223" w:lineRule="exact"/>
        <w:rPr>
          <w:rFonts w:ascii="Times New Roman" w:cs="Times New Roman" w:eastAsia="Times New Roman" w:hAnsi="Times New Roman"/>
          <w:sz w:val="21"/>
          <w:szCs w:val="21"/>
          <w:color w:val="auto"/>
          <w:vertAlign w:val="superscript"/>
        </w:rPr>
      </w:pPr>
    </w:p>
    <w:p>
      <w:pPr>
        <w:ind w:left="340" w:right="20" w:hanging="332"/>
        <w:spacing w:after="0" w:line="232" w:lineRule="auto"/>
        <w:tabs>
          <w:tab w:leader="none" w:pos="32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of September 30, 2026, September 30, 2025 and December 31, 2025, deferred debt issuance costs of $4.0 million, $5.1 million and $4.8 million, respectively, are included as a direct deduction from the carrying amount of the senior unsecured notes due 2030 in the accompanying consolidated balance sheets.</w:t>
      </w:r>
    </w:p>
    <w:p>
      <w:pPr>
        <w:spacing w:after="0" w:line="223" w:lineRule="exact"/>
        <w:rPr>
          <w:rFonts w:ascii="Times New Roman" w:cs="Times New Roman" w:eastAsia="Times New Roman" w:hAnsi="Times New Roman"/>
          <w:sz w:val="21"/>
          <w:szCs w:val="21"/>
          <w:color w:val="auto"/>
          <w:vertAlign w:val="superscript"/>
        </w:rPr>
      </w:pPr>
    </w:p>
    <w:p>
      <w:pPr>
        <w:ind w:left="340" w:right="20" w:hanging="332"/>
        <w:spacing w:after="0" w:line="225" w:lineRule="auto"/>
        <w:tabs>
          <w:tab w:leader="none" w:pos="32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of September 30, 2026, September 30, 2025 and December 31, 2025, deferred debt issuance costs of $6.7 million, $7.7 million and $7.4 million, respectively, are included as a direct deduction from the carrying amount of the senior unsecured notes due 2032 in the accompanying consolidated balance sheets.</w:t>
      </w:r>
    </w:p>
    <w:p>
      <w:pPr>
        <w:spacing w:after="0" w:line="235"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of September 30, 2026, deferred debt issuance costs of $8.8 million are included as a direct deduction from the carrying amount of the senior unsecured notes due 2034 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Revolving Unsecured Credit Facility</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period from January 1, 2026 through August 27, 2026, the Company maintained an unsecured line of credit with a group of U.S.-based commercial lenders (the “Credit Facility”) in the amount of $700.0 million, which was scheduled to mature on August 8, 2029. The Credit Facility bore interest at the Company’s option of either (1) the prevailing SOFR (with interest periods of one, three or six months at the Company’s option) plus a fixed spread of 2.5% or (2) the prevailing prime or base rate plus a fixed spread of 1.5%.</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27, 2026, the Credit Facility was amended (the “2026 Amendment”) to, among other things, increase the total lender commitment, extend the term of the Credit Facility and amend certain financial covenants. Under the 2026 Amendment, the total lender commitment was increased from $700.0 million to $1,055.0 million and the term of the Credit Facility was extended to August 27, 2031. The 2026 Amendment permits borrowings denominated in British pounds sterling of up to a $500.0 million U.S. dollar equivalent. In addition, the 2026 Amendment increased the maximum permitted consolidated net leverage ratio to 3.5 times consolidated EBITDA, reduced the unused commitment fee and provided additional flexibility under certain of the negative covenants.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Borrowings denominated in U.S. dollars bear interest at the Company’s option of either (i) the prevailing SOFR (with interest periods of one, three or six months at the Company’s option) plus a fixed spread of 2.5% or (ii) the prevailing prime or base rate plus a fixed spread of 1.5%. Borrowings denominated in British pounds sterling bear interest at the prevailing SONIA plus a fixed spread of 2.5%. Additionally, the Company is required to pay an annual commitment fee of 0.25% on the average daily unused portion of the Credit Facility commitment.</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September 30, 2026, the Company had $169.0 million in outstanding borrowings and $3.5 million in outstanding letters of credit under the Credit Facility, leaving $882.5 million available for future borrowings, subject to certain financial covenants. All borrowings as of September 30, 2026 are U.S. dollar borrowings. The weighted-average interest rate on amounts outstanding under the Credit Facility at September 30, 2026 was 6.30%. Under the terms of the Credit Facility, the Company is required to maintain certain financial ratios and comply with certain financial covenants. The Credit Facility also contains customary restrictions on the Company’s ability to incur additional debt, grant liens, make investments, consummate acquisitions and similar negative covenants with customary carve-outs and baskets. The Company was in compliance with the covenants of the Credit Facility as of September 30, 2026. During the nine months ended September 30, 2026, the Company made net payments of $390.0 million pursuant to the Credit Facility.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Acquisition Bridge Credit Agreement</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anticipated Ramsdens Acquisition, the Company entered into a Bridge Term Loan Credit Agreement (“Bridge Facility”), dated as of June 23, 2026 and amended as of July 16, 2026, with Jefferies Finance LLC (as administrative agent and lender) providing the Company certain borrowings in an aggregate amount of up to £239.0 million. The Bridge Facility provides a backstop for the anticipated financing of the Ramsdens Acquisition and satisfies the “certain funds” requirements under the U.K. City Code on Takeovers and Mergers. The availability of borrowings under the Bridge Facility is subject to the satisfaction of certain customary conditions, including, but not limited to, the consummation of the Ramsdens Acquisition contemporaneously with the initial funding of the Bridge Facility. The Company expects to replace the Bridge Facility prior to the closing date of the Ramsdens Acquisition by borrowing on the Credit Facility to finance the Ramsdens Acquisition and to pay related fees and expenses.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Revolving Secured Credit Facility</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H&amp;T Acquisition, the Company assumed a secured line of credit with a bank in the U.K. in an amount of £45.0 million which was scheduled to mature on December 22, 2027 (the “U.K. Credit Facility”). In May 2026, all outstanding amounts were repaid in full, and the U.K. Credit Facility was terminated.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Revolving Unsecured Uncommitted Credit Facility</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period from January 1, 2026 through July 29, 2026, the Company’s primary subsidiary in Mexico, First Cash S.A. de C.V., maintained an unsecured and uncommitted line of credit guaranteed by FirstCash, Inc. with a bank in Mexico (the “Mexico Credit Facility”) in the amount of $600.0 million Mexican pesos, which was scheduled to mature on August 24, 2027.</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29, 2026, the Mexico Credit Facility was amended to increase the lender commitment from $600.0 million Mexican pesos to $850.0 million Mexican pesos and to extend the term to August 24, 2031. The Mexico Credit Facility continues to bear interest at the Mexican Central Bank’s interbank equilibrium rate plus a fixed spread of 2.25%. Under the terms of the Mexico Credit Facility, the Company is required to maintain certain financial ratios and comply with certain financial covenants. The Company was in compliance with the covenants of the Mexico Credit Facility as of September 30, 2026. As of September 30, 2026, the Company had no amount outstanding under the Mexico Credit Facility and $47.7 million ($850.0 million Mexican pesos) available for future borrowings.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Secured Term Loans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H&amp;T Acquisition, the Company assumed three secured term loans with multiple lending institutions in the U.K. in an aggregate amount of £45.0 million, which were scheduled to mature between December 22, 2027 and February 21, 2031 (the “U.K. Term Loans”). In May 2026, all outstanding amounts were repaid in full, and the U.K. Term Loans were terminated. As a result of the early termination, the Company paid aggregate prepayment penalties of £3.1 million ($4.2 million), which are included in merger and acquisition expenses in the accompanying consolidated statements of income.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Senior Unsecured Notes Due 2028</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26, 2020, the Company issued $500.0 million of 4.625% senior unsecured notes due on September 1, 2028 (the “2028 Notes”), all of which are currently outstanding. Interest on the 2028 Notes is payable semi-annually in arrears on March 1 and September 1. The 2028 Notes are fully and unconditionally guaranteed on a senior unsecured basis jointly and severally by all of the Company's existing and future domestic subsidiaries that guarantee its Credit Facility. The 2028 Notes will permit the Company to make restricted payments, such as purchasing shares of its stock and paying cash dividends, in an unlimited amount if, after giving pro forma effect to the incurrence of any indebtedness to make such payment, the Company's consolidated total debt ratio is less than 2.75 to 1. The consolidated total debt ratio is defined generally in the indenture governing the 2028 Notes as the ratio of (1) the total consolidated debt of the Company minus cash and cash equivalents of the Company to (2) the Company’s consolidated trailing twelve months EBITDA, as adjusted to exclude certain non-recurring expenses and giving pro forma effect to operations acquired during the measurement period. As of September 30, 2026, the Company’s consolidated total debt ratio was 2.6 to 1. While the 2028 Notes generally limit the Company’s ability to make restricted payments if the consolidated total debt ratio is greater than 2.75 to 1, restricted payments are allowable within certain permitted baskets, which currently provide the Company with continued flexibility to make restricted payments when the Company’s consolidated total debt ratio is greater than 2.75 to 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Senior Unsecured Notes Due 2030</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13, 2021, the Company issued $550.0 million of 5.625% senior unsecured notes due on January 1, 2030 (the “2030 Notes”), all of which are currently outstanding. Interest on the 2030 Notes is payable semi-annually in arrears on January 1 and July 1. The 2030 Notes are fully and unconditionally guaranteed on a senior unsecured basis jointly and severally by all of the Company's existing and future domestic subsidiaries that guarantee its Credit Facility. The 2030 Notes will permit the Company to make restricted payments, such as purchasing shares of its stock and paying cash dividends, in an unlimited amount if, after giving pro forma effect to the incurrence of any indebtedness to make such payment, the Company's consolidated total debt ratio is less than 3.0 to 1. The consolidated total debt ratio is defined generally in the indenture governing the 2030 Notes as the ratio of (1) the total consolidated debt of the Company minus cash and cash equivalents of the Company to (2) the Company’s consolidated trailing twelve months EBITDA, as adjusted to exclude certain non-recurring expenses and giving pro forma effect to operations acquired during the measurement period. As of September 30, 2026, the Company’s consolidated total debt ratio was 2.6 to 1. While the 2030 Notes generally limit the Company’s ability to make restricted payments if the consolidated total debt ratio is greater than 3.0 to 1, restricted payments are allowable within certain permitted baskets, which currently provide the Company with continued flexibility to make restricted payments when the Company’s consolidated total debt ratio is greater than 3.0 to 1.</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Senior Unsecured Notes Due 2032</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21, 2024, the Company issued $500.0 million of 6.875% senior unsecured notes due on March 1, 2032 (the “2032 Notes”), all of which are currently outstanding. Interest on the 2032 Notes is payable semi-annually in arrears on March 1 and September 1. The 2032 Notes are fully and unconditionally guaranteed on a senior unsecured basis jointly and severally by all of the Company's existing and future domestic subsidiaries that guarantee its Credit Facility. The 2032 Notes will permit the Company to make restricted payments, such as purchasing shares of its stock and paying cash dividends, in an unlimited amount if, after giving pro forma effect to the incurrence of any indebtedness to make such payment, the Company's consolidated total debt ratio is less than 3.0 to 1. The consolidated total debt ratio is defined generally in the indenture governing the 2032 Notes as the ratio of (1) the total consolidated debt of the Company minus cash and cash equivalents of the Company to (2) the Company’s consolidated trailing twelve months EBITDA, as adjusted to exclude certain non-recurring expenses and giving pro forma effect to operations acquired during the measurement period. As of September 30, 2026, the Company’s consolidated total debt ratio was 2.6 to 1. While the 2032 Notes generally limit the Company’s ability to make restricted payments if the consolidated total debt ratio is greater than 3.0 to 1, restricted payments are allowable within certain permitted baskets, which currently provide the Company with continued flexibility to make restricted payments when the Company’s consolidated total debt ratio is greater than 3.0 to 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Senior Unsecured Notes Due 2034</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 2026, the Company issued $750.0 million of 6.125% senior unsecured notes due on May 1, 2034 (the “2034 Notes”), all of which are currently outstanding. Interest on the 2034 Notes is payable semi-annually in arrears on May 1 and November 1, commencing on November 1, 2026. The 2034 Notes were sold in a private placement in reliance on Rule 144A and Regulation S under the Securities Act of 1933, as amended. The Company used the net proceeds from the offering to repay a portion of the outstanding balance on the Credit Facility, to repay the U.K. Credit Facility in full and to repay the U.K. Term Loans in full, after payment of fees and expenses related to the offering. The Company capitalized $9.2 million in debt issuance costs, which consisted primarily of the initial purchaser’s discount and fees and legal and other professional expenses. The debt issuance costs are being amortized over the life of the 2034 Notes as a component of interest expense and are carried as a direct deduction from the carrying amount of the 2034 Notes in the accompanying consolidated balance sheets.</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2034 Notes are fully and unconditionally guaranteed on a senior unsecured basis jointly and severally by all of the Company's existing and future domestic subsidiaries that guarantee its Credit Facility. The 2034 Notes will permit the Company to make restricted payments, such as purchasing shares of its stock and paying cash dividends, in an unlimited amount if, after giving pro forma effect to the incurrence of any indebtedness to make such payment, the Company's consolidated total debt ratio is less than 3.0 to 1. The consolidated total debt ratio is defined generally in the indenture governing the 2034 Notes (the “2034 Notes Indenture”) as the ratio of (1) the total consolidated debt of the Company minus cash and cash equivalents of the Company to (2) the Company’s consolidated trailing twelve months EBITDA, as adjusted to exclude certain non-recurring expenses and giving pro forma effect to operations acquired during the measurement period. As of September 30, 2026, the Company’s consolidated total debt ratio was 2.6 to 1. While the 2034 Notes generally limit the Company’s ability to make restricted payments if the consolidated total debt ratio is greater than 3.0 to 1, restricted payments are allowable within certain permitted baskets, which currently provide the Company with continued flexibility to make restricted payments when the Company’s consolidated total debt ratio is greater than 3.0 to 1.</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may redeem some or all of the 2034 Notes at any time on or after May 1, 2029, at the redemption prices set forth in the 2034 Notes Indenture, plus accrued and unpaid interest, if any. In addition, prior to May 1, 2029, the Company may redeem some or all of the 2034 Notes at a price equal to 100% of the principal amount thereof, plus accrued and unpaid interest, if any, plus a “make-whole” premium set forth in the 2034 Notes Indenture. The Company may redeem up to 40% of the 2034 Notes on or prior to May 1, 2029 with the proceeds of certain equity offerings at the redemption prices set forth in the 2034 Notes Indenture. If the Company or any of its restricted subsidiaries sells certain assets or if the Company consummates certain change in control transactions, the Company will be required to make an offer to repurchase the 2034 Notes.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 the ordinary course of business, is a party to various legal and regulatory proceedings and other general claims. Although no assurances can be given, in management’s opinion, such outstanding proceedings are not expected to have a material adverse effect on the Company’s financial position, results of operations, or cash flows.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OBS Loans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obligated to reimburse the Company’s bank partner for the outstanding principal amount plus accrued interest for all OBS Loans that are 90 days contractually past due. This obligation constitutes an off-balance sheet credit exposure for which the Company is required to recognize, upon inception of the obligation, a liability for the expected lifetime losses, which is included in accrued liabilities in the accompanying consolidated balance sheets. As of September 30, 2026 and 2025, the outstanding amount of OBS Loans originated and held by the Company’s bank partner, which would represent the maximum exposure to the Company, was $45.5 million and $9.7 million,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changes in the liability for off-balance sheet credit exposure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248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color w:val="auto"/>
              </w:rPr>
              <w:t>Three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40" w:type="dxa"/>
            <w:vAlign w:val="bottom"/>
            <w:gridSpan w:val="4"/>
          </w:tcPr>
          <w:p>
            <w:pPr>
              <w:jc w:val="right"/>
              <w:ind w:right="75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19"/>
        </w:trPr>
        <w:tc>
          <w:tcPr>
            <w:tcW w:w="52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439"/>
              <w:spacing w:after="0"/>
              <w:rPr>
                <w:sz w:val="20"/>
                <w:szCs w:val="20"/>
                <w:color w:val="auto"/>
              </w:rPr>
            </w:pPr>
            <w:r>
              <w:rPr>
                <w:rFonts w:ascii="Times New Roman" w:cs="Times New Roman" w:eastAsia="Times New Roman" w:hAnsi="Times New Roman"/>
                <w:sz w:val="16"/>
                <w:szCs w:val="16"/>
                <w:color w:val="auto"/>
              </w:rPr>
              <w:t>September 30,</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September 30,</w:t>
            </w:r>
          </w:p>
        </w:tc>
        <w:tc>
          <w:tcPr>
            <w:tcW w:w="940" w:type="dxa"/>
            <w:vAlign w:val="bottom"/>
            <w:tcBorders>
              <w:bottom w:val="single" w:sz="8" w:color="auto"/>
            </w:tcBorders>
          </w:tcPr>
          <w:p>
            <w:pPr>
              <w:spacing w:after="0"/>
              <w:rPr>
                <w:sz w:val="19"/>
                <w:szCs w:val="19"/>
                <w:color w:val="auto"/>
              </w:rPr>
            </w:pPr>
          </w:p>
        </w:tc>
      </w:tr>
      <w:tr>
        <w:trPr>
          <w:trHeight w:val="211"/>
        </w:trPr>
        <w:tc>
          <w:tcPr>
            <w:tcW w:w="52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2025</w:t>
            </w:r>
          </w:p>
        </w:tc>
      </w:tr>
      <w:tr>
        <w:trPr>
          <w:trHeight w:val="211"/>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18,341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13,782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Provision for loan losses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11,759</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26,833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4,790</w:t>
            </w:r>
          </w:p>
        </w:tc>
      </w:tr>
      <w:tr>
        <w:trPr>
          <w:trHeight w:val="218"/>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Charge-offs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(6,204)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(16,836)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Recoveries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90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24,057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24,057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Pending Ramsdens Acquisition</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the pending Ramsdens Acquisition, Ramsdens’ shareholders will be entitled to receive 675 pence per share in cash. The total equity value for the Ramsdens Acquisition is approximately £228.6 million ($303.7 million USD using GBP/USD exchange rate of 1.33). The Company intends to borrow on its Credit Facility to finance the Ramsdens Acquisition and to pay related fees and expenses. The Company also entered into the Bridge Facility, which provides a backstop for the anticipated financing of the Ramsdens Acquisition and satisfies the “certain funds” requirements under the U.K. City Code on Takeovers and Mergers. During the third quarter of 2026, both the Ramsdens’ shareholders and the U.K. financial regulator (Financial Conduct Authority) approved the acquisition. The Ramsdens Acquisition is expected to be consummated by the end of 2026, pending receipt of the required U.K. anti-trust approval and satisfaction of the remaining customary closing conditions.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Gold Forward Sales Contracts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2026, the Company had contractual commitments to deliver a total of 57,500 gold ounces between October 2026 and December 2027 at a weighted-average price of $4,147 per ounce. The ounces required to be delivered over this time period are less than the historical volume of scrap gold normally produced, and the Company expects to have the required gold ounces to meet the commitments as they come due.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Segment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organizes its operations into four reportable segments as follows:</w:t>
      </w:r>
    </w:p>
    <w:p>
      <w:pPr>
        <w:spacing w:after="0" w:line="25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pawn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Latin America pawn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U.K. pawn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POS payment solutions (American First Finance or “AFF”)</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of the three pawn segments include salary and benefit expenses of store-level employees, occupancy costs, bank and other treasury fees, security, insurance, utilities, supplies and other costs incurred by the pawn stores. Operating expenses of the AFF segment include salary and benefit expenses of operations-focused departments, payment processing charges, data analytics and decisioning costs, information technology costs, advertising costs and other operational costs incurred by AFF.</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expenses and income, which include administrative expenses, corporate depreciation and amortization, interest expense, interest income, (gain) loss on foreign exchange, merger and acquisition expenses, and other income, net, are presented on a consolidated basis and are not allocated between the segments. Intersegment transactions related to AFF’s LTO payment solution product offered in U.S. pawn stores are eliminated from consolidated totals.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completed the acquisition of H&amp;T, the leading pawn operator in the U.K., on August 14, 2025, the date the balance sheet and operating results of H&amp;T, as reported in the U.K. pawn segment, were included in the Company’s consolidated financial results.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reportable segment information for the three and nine month periods ended September 30, 2026 and 2025, as well as certain segment assets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 2026</w:t>
            </w: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color w:val="auto"/>
              </w:rPr>
              <w:t>U.S.</w:t>
            </w:r>
          </w:p>
        </w:tc>
        <w:tc>
          <w:tcPr>
            <w:tcW w:w="200" w:type="dxa"/>
            <w:vAlign w:val="bottom"/>
          </w:tcPr>
          <w:p>
            <w:pPr>
              <w:spacing w:after="0"/>
              <w:rPr>
                <w:sz w:val="13"/>
                <w:szCs w:val="13"/>
                <w:color w:val="auto"/>
              </w:rPr>
            </w:pPr>
          </w:p>
        </w:tc>
        <w:tc>
          <w:tcPr>
            <w:tcW w:w="106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color w:val="auto"/>
              </w:rPr>
              <w:t>Latin</w:t>
            </w:r>
          </w:p>
        </w:tc>
        <w:tc>
          <w:tcPr>
            <w:tcW w:w="260" w:type="dxa"/>
            <w:vAlign w:val="bottom"/>
          </w:tcPr>
          <w:p>
            <w:pPr>
              <w:spacing w:after="0"/>
              <w:rPr>
                <w:sz w:val="13"/>
                <w:szCs w:val="13"/>
                <w:color w:val="auto"/>
              </w:rPr>
            </w:pPr>
          </w:p>
        </w:tc>
        <w:tc>
          <w:tcPr>
            <w:tcW w:w="10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6"/>
                <w:szCs w:val="16"/>
                <w:color w:val="auto"/>
              </w:rPr>
              <w:t>U.K.</w:t>
            </w:r>
          </w:p>
        </w:tc>
        <w:tc>
          <w:tcPr>
            <w:tcW w:w="160" w:type="dxa"/>
            <w:vAlign w:val="bottom"/>
          </w:tcPr>
          <w:p>
            <w:pPr>
              <w:spacing w:after="0"/>
              <w:rPr>
                <w:sz w:val="13"/>
                <w:szCs w:val="13"/>
                <w:color w:val="auto"/>
              </w:rPr>
            </w:pPr>
          </w:p>
        </w:tc>
        <w:tc>
          <w:tcPr>
            <w:tcW w:w="11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color w:val="auto"/>
              </w:rPr>
              <w:t>Retail POS</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color w:val="auto"/>
              </w:rPr>
              <w:t>Corporate/</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color w:val="auto"/>
              </w:rPr>
              <w:t>America</w:t>
            </w: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color w:val="auto"/>
                <w:w w:val="99"/>
              </w:rPr>
              <w:t>Payment</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color w:val="auto"/>
              </w:rPr>
              <w:t>Intersegment</w:t>
            </w:r>
          </w:p>
        </w:tc>
        <w:tc>
          <w:tcPr>
            <w:tcW w:w="140" w:type="dxa"/>
            <w:vAlign w:val="bottom"/>
          </w:tcPr>
          <w:p>
            <w:pPr>
              <w:spacing w:after="0"/>
              <w:rPr>
                <w:sz w:val="14"/>
                <w:szCs w:val="14"/>
                <w:color w:val="auto"/>
              </w:rPr>
            </w:pPr>
          </w:p>
        </w:tc>
        <w:tc>
          <w:tcPr>
            <w:tcW w:w="10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Consolidated</w:t>
            </w:r>
          </w:p>
        </w:tc>
        <w:tc>
          <w:tcPr>
            <w:tcW w:w="0" w:type="dxa"/>
            <w:vAlign w:val="bottom"/>
          </w:tcPr>
          <w:p>
            <w:pPr>
              <w:spacing w:after="0"/>
              <w:rPr>
                <w:sz w:val="1"/>
                <w:szCs w:val="1"/>
                <w:color w:val="auto"/>
              </w:rPr>
            </w:pPr>
          </w:p>
        </w:tc>
      </w:tr>
      <w:tr>
        <w:trPr>
          <w:trHeight w:val="213"/>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rPr>
              <w:t>Pawn</w:t>
            </w:r>
          </w:p>
        </w:tc>
        <w:tc>
          <w:tcPr>
            <w:tcW w:w="2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Pawn</w:t>
            </w:r>
          </w:p>
        </w:tc>
        <w:tc>
          <w:tcPr>
            <w:tcW w:w="26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rPr>
              <w:t>Pawn</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Solutions</w:t>
            </w: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Eliminations</w:t>
            </w: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Retail merchandise sales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278,937</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179,935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480,981</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Pawn loan fees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267,290</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Leased merchandise income</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103,057</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and fees on retail finance products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73,749</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Wholesale scrap jewelry sales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172,541</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revenue</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3,549</w:t>
            </w:r>
          </w:p>
        </w:tc>
        <w:tc>
          <w:tcPr>
            <w:tcW w:w="0" w:type="dxa"/>
            <w:vAlign w:val="bottom"/>
          </w:tcPr>
          <w:p>
            <w:pPr>
              <w:spacing w:after="0"/>
              <w:rPr>
                <w:sz w:val="1"/>
                <w:szCs w:val="1"/>
                <w:color w:val="auto"/>
              </w:rPr>
            </w:pPr>
          </w:p>
        </w:tc>
      </w:tr>
      <w:tr>
        <w:trPr>
          <w:trHeight w:val="207"/>
        </w:trPr>
        <w:tc>
          <w:tcPr>
            <w:tcW w:w="37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Total revenue</w:t>
            </w: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514,703</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310,706</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99,370</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176,806</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1,101,167</w:t>
            </w:r>
          </w:p>
        </w:tc>
        <w:tc>
          <w:tcPr>
            <w:tcW w:w="0" w:type="dxa"/>
            <w:vAlign w:val="bottom"/>
          </w:tcPr>
          <w:p>
            <w:pPr>
              <w:spacing w:after="0"/>
              <w:rPr>
                <w:sz w:val="1"/>
                <w:szCs w:val="1"/>
                <w:color w:val="auto"/>
              </w:rPr>
            </w:pPr>
          </w:p>
        </w:tc>
      </w:tr>
      <w:tr>
        <w:trPr>
          <w:trHeight w:val="77"/>
        </w:trPr>
        <w:tc>
          <w:tcPr>
            <w:tcW w:w="37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retail merchandise sold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294,274</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of leased merchandise</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63,113</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lease losses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17,021</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 for loan losses</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40,790</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wholesale scrap jewelry sold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140,159</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cost of revenue</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cost of revenue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229,579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157,225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48,131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121,061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555,624</w:t>
            </w:r>
          </w:p>
        </w:tc>
        <w:tc>
          <w:tcPr>
            <w:tcW w:w="0" w:type="dxa"/>
            <w:vAlign w:val="bottom"/>
          </w:tcPr>
          <w:p>
            <w:pPr>
              <w:spacing w:after="0"/>
              <w:rPr>
                <w:sz w:val="1"/>
                <w:szCs w:val="1"/>
                <w:color w:val="auto"/>
              </w:rPr>
            </w:pPr>
          </w:p>
        </w:tc>
      </w:tr>
      <w:tr>
        <w:trPr>
          <w:trHeight w:val="77"/>
        </w:trPr>
        <w:tc>
          <w:tcPr>
            <w:tcW w:w="3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285,124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153,481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51,239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55,745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545,543</w:t>
            </w:r>
          </w:p>
        </w:tc>
        <w:tc>
          <w:tcPr>
            <w:tcW w:w="0" w:type="dxa"/>
            <w:vAlign w:val="bottom"/>
          </w:tcPr>
          <w:p>
            <w:pPr>
              <w:spacing w:after="0"/>
              <w:rPr>
                <w:sz w:val="1"/>
                <w:szCs w:val="1"/>
                <w:color w:val="auto"/>
              </w:rPr>
            </w:pPr>
          </w:p>
        </w:tc>
      </w:tr>
      <w:tr>
        <w:trPr>
          <w:trHeight w:val="77"/>
        </w:trPr>
        <w:tc>
          <w:tcPr>
            <w:tcW w:w="3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Expenses and other income: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269,106</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Administrative expenses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66,723</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32,283</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37,678</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on foreign exchange</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Merger and acquisition expenses</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3,760</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income, net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w:t>
            </w:r>
          </w:p>
        </w:tc>
        <w:tc>
          <w:tcPr>
            <w:tcW w:w="0" w:type="dxa"/>
            <w:vAlign w:val="bottom"/>
          </w:tcPr>
          <w:p>
            <w:pPr>
              <w:spacing w:after="0"/>
              <w:rPr>
                <w:sz w:val="1"/>
                <w:szCs w:val="1"/>
                <w:color w:val="auto"/>
              </w:rPr>
            </w:pPr>
          </w:p>
        </w:tc>
      </w:tr>
      <w:tr>
        <w:trPr>
          <w:trHeight w:val="207"/>
        </w:trPr>
        <w:tc>
          <w:tcPr>
            <w:tcW w:w="37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Total expenses and other income</w:t>
            </w: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151,836</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88,909</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22,039</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22,586</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121,506</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406,876</w:t>
            </w:r>
          </w:p>
        </w:tc>
        <w:tc>
          <w:tcPr>
            <w:tcW w:w="0" w:type="dxa"/>
            <w:vAlign w:val="bottom"/>
          </w:tcPr>
          <w:p>
            <w:pPr>
              <w:spacing w:after="0"/>
              <w:rPr>
                <w:sz w:val="1"/>
                <w:szCs w:val="1"/>
                <w:color w:val="auto"/>
              </w:rPr>
            </w:pPr>
          </w:p>
        </w:tc>
      </w:tr>
      <w:tr>
        <w:trPr>
          <w:trHeight w:val="77"/>
        </w:trPr>
        <w:tc>
          <w:tcPr>
            <w:tcW w:w="37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133,288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64,572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29,200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33,159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(121,552)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138,667</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color w:val="auto"/>
              </w:rPr>
              <w:t>U.S.</w:t>
            </w:r>
          </w:p>
        </w:tc>
        <w:tc>
          <w:tcPr>
            <w:tcW w:w="200" w:type="dxa"/>
            <w:vAlign w:val="bottom"/>
          </w:tcPr>
          <w:p>
            <w:pPr>
              <w:spacing w:after="0"/>
              <w:rPr>
                <w:sz w:val="13"/>
                <w:szCs w:val="13"/>
                <w:color w:val="auto"/>
              </w:rPr>
            </w:pPr>
          </w:p>
        </w:tc>
        <w:tc>
          <w:tcPr>
            <w:tcW w:w="90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color w:val="auto"/>
              </w:rPr>
              <w:t>Latin</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6"/>
                <w:szCs w:val="16"/>
                <w:color w:val="auto"/>
              </w:rPr>
              <w:t>U.K.</w:t>
            </w:r>
          </w:p>
        </w:tc>
        <w:tc>
          <w:tcPr>
            <w:tcW w:w="160" w:type="dxa"/>
            <w:vAlign w:val="bottom"/>
          </w:tcPr>
          <w:p>
            <w:pPr>
              <w:spacing w:after="0"/>
              <w:rPr>
                <w:sz w:val="13"/>
                <w:szCs w:val="13"/>
                <w:color w:val="auto"/>
              </w:rPr>
            </w:pPr>
          </w:p>
        </w:tc>
        <w:tc>
          <w:tcPr>
            <w:tcW w:w="11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color w:val="auto"/>
              </w:rPr>
              <w:t>Retail POS</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color w:val="auto"/>
              </w:rPr>
              <w:t>Corporate/</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color w:val="auto"/>
              </w:rPr>
              <w:t>America</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color w:val="auto"/>
                <w:w w:val="99"/>
              </w:rPr>
              <w:t>Payment</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color w:val="auto"/>
              </w:rPr>
              <w:t>Intersegment</w:t>
            </w:r>
          </w:p>
        </w:tc>
        <w:tc>
          <w:tcPr>
            <w:tcW w:w="140" w:type="dxa"/>
            <w:vAlign w:val="bottom"/>
          </w:tcPr>
          <w:p>
            <w:pPr>
              <w:spacing w:after="0"/>
              <w:rPr>
                <w:sz w:val="14"/>
                <w:szCs w:val="14"/>
                <w:color w:val="auto"/>
              </w:rPr>
            </w:pPr>
          </w:p>
        </w:tc>
        <w:tc>
          <w:tcPr>
            <w:tcW w:w="10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Consolidated</w:t>
            </w:r>
          </w:p>
        </w:tc>
        <w:tc>
          <w:tcPr>
            <w:tcW w:w="0" w:type="dxa"/>
            <w:vAlign w:val="bottom"/>
          </w:tcPr>
          <w:p>
            <w:pPr>
              <w:spacing w:after="0"/>
              <w:rPr>
                <w:sz w:val="1"/>
                <w:szCs w:val="1"/>
                <w:color w:val="auto"/>
              </w:rPr>
            </w:pPr>
          </w:p>
        </w:tc>
      </w:tr>
      <w:tr>
        <w:trPr>
          <w:trHeight w:val="213"/>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rPr>
              <w:t>Pawn</w:t>
            </w:r>
          </w:p>
        </w:tc>
        <w:tc>
          <w:tcPr>
            <w:tcW w:w="200" w:type="dxa"/>
            <w:vAlign w:val="bottom"/>
          </w:tcPr>
          <w:p>
            <w:pPr>
              <w:spacing w:after="0"/>
              <w:rPr>
                <w:sz w:val="18"/>
                <w:szCs w:val="18"/>
                <w:color w:val="auto"/>
              </w:rPr>
            </w:pPr>
          </w:p>
        </w:tc>
        <w:tc>
          <w:tcPr>
            <w:tcW w:w="9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Pawn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rPr>
              <w:t>Pawn</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Solutions</w:t>
            </w: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Eliminations</w:t>
            </w: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Retail merchandise sales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838,442</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514,092</w:t>
            </w:r>
          </w:p>
        </w:tc>
        <w:tc>
          <w:tcPr>
            <w:tcW w:w="4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65,839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1,417,078</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Pawn loan fees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463,809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239,321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792,429</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Leased merchandise income</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348,743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348,743</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and fees on retail finance products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222,046</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Wholesale scrap jewelry sales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106,454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437,154</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revenue</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10,056</w:t>
            </w:r>
          </w:p>
        </w:tc>
        <w:tc>
          <w:tcPr>
            <w:tcW w:w="0" w:type="dxa"/>
            <w:vAlign w:val="bottom"/>
          </w:tcPr>
          <w:p>
            <w:pPr>
              <w:spacing w:after="0"/>
              <w:rPr>
                <w:sz w:val="1"/>
                <w:szCs w:val="1"/>
                <w:color w:val="auto"/>
              </w:rPr>
            </w:pPr>
          </w:p>
        </w:tc>
      </w:tr>
      <w:tr>
        <w:trPr>
          <w:trHeight w:val="207"/>
        </w:trPr>
        <w:tc>
          <w:tcPr>
            <w:tcW w:w="37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Total revenue</w:t>
            </w: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1,501,781</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859,867</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296,364</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570,789</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3,227,506</w:t>
            </w:r>
          </w:p>
        </w:tc>
        <w:tc>
          <w:tcPr>
            <w:tcW w:w="0" w:type="dxa"/>
            <w:vAlign w:val="bottom"/>
          </w:tcPr>
          <w:p>
            <w:pPr>
              <w:spacing w:after="0"/>
              <w:rPr>
                <w:sz w:val="1"/>
                <w:szCs w:val="1"/>
                <w:color w:val="auto"/>
              </w:rPr>
            </w:pPr>
          </w:p>
        </w:tc>
      </w:tr>
      <w:tr>
        <w:trPr>
          <w:trHeight w:val="77"/>
        </w:trPr>
        <w:tc>
          <w:tcPr>
            <w:tcW w:w="37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retail merchandise sold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477,416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335,170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857,942</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of leased merchandise</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216,309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215,822</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lease losses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71,204</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 for loan losses</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123,564</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wholesale scrap jewelry sold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89,691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335,955</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cost of revenue</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cost of revenue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642,047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424,861</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129,105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411,335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1,605,912</w:t>
            </w:r>
          </w:p>
        </w:tc>
        <w:tc>
          <w:tcPr>
            <w:tcW w:w="0" w:type="dxa"/>
            <w:vAlign w:val="bottom"/>
          </w:tcPr>
          <w:p>
            <w:pPr>
              <w:spacing w:after="0"/>
              <w:rPr>
                <w:sz w:val="1"/>
                <w:szCs w:val="1"/>
                <w:color w:val="auto"/>
              </w:rPr>
            </w:pPr>
          </w:p>
        </w:tc>
      </w:tr>
      <w:tr>
        <w:trPr>
          <w:trHeight w:val="77"/>
        </w:trPr>
        <w:tc>
          <w:tcPr>
            <w:tcW w:w="3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859,734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435,006</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167,259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159,454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1,621,594</w:t>
            </w:r>
          </w:p>
        </w:tc>
        <w:tc>
          <w:tcPr>
            <w:tcW w:w="0" w:type="dxa"/>
            <w:vAlign w:val="bottom"/>
          </w:tcPr>
          <w:p>
            <w:pPr>
              <w:spacing w:after="0"/>
              <w:rPr>
                <w:sz w:val="1"/>
                <w:szCs w:val="1"/>
                <w:color w:val="auto"/>
              </w:rPr>
            </w:pPr>
          </w:p>
        </w:tc>
      </w:tr>
      <w:tr>
        <w:trPr>
          <w:trHeight w:val="77"/>
        </w:trPr>
        <w:tc>
          <w:tcPr>
            <w:tcW w:w="3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Expenses and other income: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428,623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247,249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806,273</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Administrative expenses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199,326</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96,239</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107,908</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on foreign exchange</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Merger and acquisition expenses</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10,983</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income, net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(9,055)</w:t>
            </w:r>
          </w:p>
        </w:tc>
        <w:tc>
          <w:tcPr>
            <w:tcW w:w="0" w:type="dxa"/>
            <w:vAlign w:val="bottom"/>
          </w:tcPr>
          <w:p>
            <w:pPr>
              <w:spacing w:after="0"/>
              <w:rPr>
                <w:sz w:val="1"/>
                <w:szCs w:val="1"/>
                <w:color w:val="auto"/>
              </w:rPr>
            </w:pPr>
          </w:p>
        </w:tc>
      </w:tr>
      <w:tr>
        <w:trPr>
          <w:trHeight w:val="207"/>
        </w:trPr>
        <w:tc>
          <w:tcPr>
            <w:tcW w:w="37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Total expenses and other income</w:t>
            </w: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455,830</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261,404</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65,268</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71,638</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356,657</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1,210,797</w:t>
            </w:r>
          </w:p>
        </w:tc>
        <w:tc>
          <w:tcPr>
            <w:tcW w:w="0" w:type="dxa"/>
            <w:vAlign w:val="bottom"/>
          </w:tcPr>
          <w:p>
            <w:pPr>
              <w:spacing w:after="0"/>
              <w:rPr>
                <w:sz w:val="1"/>
                <w:szCs w:val="1"/>
                <w:color w:val="auto"/>
              </w:rPr>
            </w:pPr>
          </w:p>
        </w:tc>
      </w:tr>
      <w:tr>
        <w:trPr>
          <w:trHeight w:val="77"/>
        </w:trPr>
        <w:tc>
          <w:tcPr>
            <w:tcW w:w="37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403,904</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173,602</w:t>
            </w:r>
          </w:p>
        </w:tc>
        <w:tc>
          <w:tcPr>
            <w:tcW w:w="4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101,991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87,816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(356,516)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410,797</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As of September 30, 2026</w:t>
            </w: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color w:val="auto"/>
                <w:w w:val="98"/>
              </w:rPr>
              <w:t>U.S.</w:t>
            </w:r>
          </w:p>
        </w:tc>
        <w:tc>
          <w:tcPr>
            <w:tcW w:w="200" w:type="dxa"/>
            <w:vAlign w:val="bottom"/>
          </w:tcPr>
          <w:p>
            <w:pPr>
              <w:spacing w:after="0"/>
              <w:rPr>
                <w:sz w:val="13"/>
                <w:szCs w:val="13"/>
                <w:color w:val="auto"/>
              </w:rPr>
            </w:pPr>
          </w:p>
        </w:tc>
        <w:tc>
          <w:tcPr>
            <w:tcW w:w="108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color w:val="auto"/>
              </w:rPr>
              <w:t>Latin</w:t>
            </w:r>
          </w:p>
        </w:tc>
        <w:tc>
          <w:tcPr>
            <w:tcW w:w="220" w:type="dxa"/>
            <w:vAlign w:val="bottom"/>
          </w:tcPr>
          <w:p>
            <w:pPr>
              <w:spacing w:after="0"/>
              <w:rPr>
                <w:sz w:val="13"/>
                <w:szCs w:val="13"/>
                <w:color w:val="auto"/>
              </w:rPr>
            </w:pPr>
          </w:p>
        </w:tc>
        <w:tc>
          <w:tcPr>
            <w:tcW w:w="10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color w:val="auto"/>
              </w:rPr>
              <w:t>U.K.</w:t>
            </w:r>
          </w:p>
        </w:tc>
        <w:tc>
          <w:tcPr>
            <w:tcW w:w="160" w:type="dxa"/>
            <w:vAlign w:val="bottom"/>
          </w:tcPr>
          <w:p>
            <w:pPr>
              <w:spacing w:after="0"/>
              <w:rPr>
                <w:sz w:val="13"/>
                <w:szCs w:val="13"/>
                <w:color w:val="auto"/>
              </w:rPr>
            </w:pPr>
          </w:p>
        </w:tc>
        <w:tc>
          <w:tcPr>
            <w:tcW w:w="1240" w:type="dxa"/>
            <w:vAlign w:val="bottom"/>
            <w:gridSpan w:val="3"/>
          </w:tcPr>
          <w:p>
            <w:pPr>
              <w:jc w:val="center"/>
              <w:ind w:right="319"/>
              <w:spacing w:after="0" w:line="158" w:lineRule="exact"/>
              <w:rPr>
                <w:sz w:val="20"/>
                <w:szCs w:val="20"/>
                <w:color w:val="auto"/>
              </w:rPr>
            </w:pPr>
            <w:r>
              <w:rPr>
                <w:rFonts w:ascii="Times New Roman" w:cs="Times New Roman" w:eastAsia="Times New Roman" w:hAnsi="Times New Roman"/>
                <w:sz w:val="16"/>
                <w:szCs w:val="16"/>
                <w:color w:val="auto"/>
              </w:rPr>
              <w:t>Retail POS</w:t>
            </w:r>
          </w:p>
        </w:tc>
        <w:tc>
          <w:tcPr>
            <w:tcW w:w="1280" w:type="dxa"/>
            <w:vAlign w:val="bottom"/>
            <w:gridSpan w:val="3"/>
          </w:tcPr>
          <w:p>
            <w:pPr>
              <w:jc w:val="center"/>
              <w:ind w:right="299"/>
              <w:spacing w:after="0" w:line="158" w:lineRule="exact"/>
              <w:rPr>
                <w:sz w:val="20"/>
                <w:szCs w:val="20"/>
                <w:color w:val="auto"/>
              </w:rPr>
            </w:pPr>
            <w:r>
              <w:rPr>
                <w:rFonts w:ascii="Times New Roman" w:cs="Times New Roman" w:eastAsia="Times New Roman" w:hAnsi="Times New Roman"/>
                <w:sz w:val="16"/>
                <w:szCs w:val="16"/>
                <w:color w:val="auto"/>
              </w:rPr>
              <w:t>Corporate/</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color w:val="auto"/>
              </w:rPr>
              <w:t>America</w:t>
            </w: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right="319"/>
              <w:spacing w:after="0" w:line="162" w:lineRule="exact"/>
              <w:rPr>
                <w:sz w:val="20"/>
                <w:szCs w:val="20"/>
                <w:color w:val="auto"/>
              </w:rPr>
            </w:pPr>
            <w:r>
              <w:rPr>
                <w:rFonts w:ascii="Times New Roman" w:cs="Times New Roman" w:eastAsia="Times New Roman" w:hAnsi="Times New Roman"/>
                <w:sz w:val="16"/>
                <w:szCs w:val="16"/>
                <w:color w:val="auto"/>
                <w:w w:val="99"/>
              </w:rPr>
              <w:t>Payment</w:t>
            </w:r>
          </w:p>
        </w:tc>
        <w:tc>
          <w:tcPr>
            <w:tcW w:w="1280" w:type="dxa"/>
            <w:vAlign w:val="bottom"/>
            <w:gridSpan w:val="3"/>
          </w:tcPr>
          <w:p>
            <w:pPr>
              <w:jc w:val="center"/>
              <w:ind w:right="299"/>
              <w:spacing w:after="0" w:line="162" w:lineRule="exact"/>
              <w:rPr>
                <w:sz w:val="20"/>
                <w:szCs w:val="20"/>
                <w:color w:val="auto"/>
              </w:rPr>
            </w:pPr>
            <w:r>
              <w:rPr>
                <w:rFonts w:ascii="Times New Roman" w:cs="Times New Roman" w:eastAsia="Times New Roman" w:hAnsi="Times New Roman"/>
                <w:sz w:val="16"/>
                <w:szCs w:val="16"/>
                <w:color w:val="auto"/>
              </w:rPr>
              <w:t>Intersegment</w:t>
            </w:r>
          </w:p>
        </w:tc>
        <w:tc>
          <w:tcPr>
            <w:tcW w:w="10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Consolidated</w:t>
            </w:r>
          </w:p>
        </w:tc>
        <w:tc>
          <w:tcPr>
            <w:tcW w:w="0" w:type="dxa"/>
            <w:vAlign w:val="bottom"/>
          </w:tcPr>
          <w:p>
            <w:pPr>
              <w:spacing w:after="0"/>
              <w:rPr>
                <w:sz w:val="1"/>
                <w:szCs w:val="1"/>
                <w:color w:val="auto"/>
              </w:rPr>
            </w:pPr>
          </w:p>
        </w:tc>
      </w:tr>
      <w:tr>
        <w:trPr>
          <w:trHeight w:val="213"/>
        </w:trPr>
        <w:tc>
          <w:tcPr>
            <w:tcW w:w="3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Pawn</w:t>
            </w: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Pawn</w:t>
            </w: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Pawn</w:t>
            </w:r>
          </w:p>
        </w:tc>
        <w:tc>
          <w:tcPr>
            <w:tcW w:w="160" w:type="dxa"/>
            <w:vAlign w:val="bottom"/>
          </w:tcPr>
          <w:p>
            <w:pPr>
              <w:spacing w:after="0"/>
              <w:rPr>
                <w:sz w:val="18"/>
                <w:szCs w:val="18"/>
                <w:color w:val="auto"/>
              </w:rPr>
            </w:pPr>
          </w:p>
        </w:tc>
        <w:tc>
          <w:tcPr>
            <w:tcW w:w="1240" w:type="dxa"/>
            <w:vAlign w:val="bottom"/>
            <w:gridSpan w:val="3"/>
          </w:tcPr>
          <w:p>
            <w:pPr>
              <w:jc w:val="center"/>
              <w:ind w:right="339"/>
              <w:spacing w:after="0"/>
              <w:rPr>
                <w:sz w:val="20"/>
                <w:szCs w:val="20"/>
                <w:color w:val="auto"/>
              </w:rPr>
            </w:pPr>
            <w:r>
              <w:rPr>
                <w:rFonts w:ascii="Times New Roman" w:cs="Times New Roman" w:eastAsia="Times New Roman" w:hAnsi="Times New Roman"/>
                <w:sz w:val="16"/>
                <w:szCs w:val="16"/>
                <w:color w:val="auto"/>
              </w:rPr>
              <w:t>Solutions</w:t>
            </w:r>
          </w:p>
        </w:tc>
        <w:tc>
          <w:tcPr>
            <w:tcW w:w="1280" w:type="dxa"/>
            <w:vAlign w:val="bottom"/>
            <w:gridSpan w:val="3"/>
          </w:tcPr>
          <w:p>
            <w:pPr>
              <w:jc w:val="center"/>
              <w:ind w:right="299"/>
              <w:spacing w:after="0"/>
              <w:rPr>
                <w:sz w:val="20"/>
                <w:szCs w:val="20"/>
                <w:color w:val="auto"/>
              </w:rPr>
            </w:pPr>
            <w:r>
              <w:rPr>
                <w:rFonts w:ascii="Times New Roman" w:cs="Times New Roman" w:eastAsia="Times New Roman" w:hAnsi="Times New Roman"/>
                <w:sz w:val="16"/>
                <w:szCs w:val="16"/>
                <w:color w:val="auto"/>
              </w:rPr>
              <w:t>Eliminations</w:t>
            </w: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Pawn loans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487,245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205,484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214,941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907,670</w:t>
            </w: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Finance receivables, net</w:t>
            </w: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124,115</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336,233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3"/>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598,551</w:t>
            </w: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Leased merchandise, net</w:t>
            </w: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74,705</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1,215,044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193,404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486,205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2,035,199</w:t>
            </w:r>
          </w:p>
        </w:tc>
        <w:tc>
          <w:tcPr>
            <w:tcW w:w="0" w:type="dxa"/>
            <w:vAlign w:val="bottom"/>
          </w:tcPr>
          <w:p>
            <w:pPr>
              <w:spacing w:after="0"/>
              <w:rPr>
                <w:sz w:val="1"/>
                <w:szCs w:val="1"/>
                <w:color w:val="auto"/>
              </w:rPr>
            </w:pPr>
          </w:p>
        </w:tc>
      </w:tr>
      <w:tr>
        <w:trPr>
          <w:trHeight w:val="210"/>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3,065,595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863,943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603,867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769,286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256,482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5,559,173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9"/>
          </w:tcPr>
          <w:p>
            <w:pPr>
              <w:jc w:val="right"/>
              <w:ind w:right="19"/>
              <w:spacing w:after="0"/>
              <w:rPr>
                <w:sz w:val="20"/>
                <w:szCs w:val="20"/>
                <w:color w:val="auto"/>
              </w:rPr>
            </w:pPr>
            <w:r>
              <w:rPr>
                <w:rFonts w:ascii="Times New Roman" w:cs="Times New Roman" w:eastAsia="Times New Roman" w:hAnsi="Times New Roman"/>
                <w:sz w:val="16"/>
                <w:szCs w:val="16"/>
                <w:color w:val="auto"/>
              </w:rPr>
              <w:t>Three Months Ended September 30, 2025</w:t>
            </w: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color w:val="auto"/>
              </w:rPr>
              <w:t>U.S.</w:t>
            </w:r>
          </w:p>
        </w:tc>
        <w:tc>
          <w:tcPr>
            <w:tcW w:w="200" w:type="dxa"/>
            <w:vAlign w:val="bottom"/>
          </w:tcPr>
          <w:p>
            <w:pPr>
              <w:spacing w:after="0"/>
              <w:rPr>
                <w:sz w:val="13"/>
                <w:szCs w:val="13"/>
                <w:color w:val="auto"/>
              </w:rPr>
            </w:pPr>
          </w:p>
        </w:tc>
        <w:tc>
          <w:tcPr>
            <w:tcW w:w="920" w:type="dxa"/>
            <w:vAlign w:val="bottom"/>
          </w:tcPr>
          <w:p>
            <w:pPr>
              <w:jc w:val="center"/>
              <w:ind w:right="99"/>
              <w:spacing w:after="0" w:line="158" w:lineRule="exact"/>
              <w:rPr>
                <w:sz w:val="20"/>
                <w:szCs w:val="20"/>
                <w:color w:val="auto"/>
              </w:rPr>
            </w:pPr>
            <w:r>
              <w:rPr>
                <w:rFonts w:ascii="Times New Roman" w:cs="Times New Roman" w:eastAsia="Times New Roman" w:hAnsi="Times New Roman"/>
                <w:sz w:val="16"/>
                <w:szCs w:val="16"/>
                <w:color w:val="auto"/>
              </w:rPr>
              <w:t>Latin</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6"/>
                <w:szCs w:val="16"/>
                <w:color w:val="auto"/>
              </w:rPr>
              <w:t>U.K.</w:t>
            </w:r>
          </w:p>
        </w:tc>
        <w:tc>
          <w:tcPr>
            <w:tcW w:w="160" w:type="dxa"/>
            <w:vAlign w:val="bottom"/>
          </w:tcPr>
          <w:p>
            <w:pPr>
              <w:spacing w:after="0"/>
              <w:rPr>
                <w:sz w:val="13"/>
                <w:szCs w:val="13"/>
                <w:color w:val="auto"/>
              </w:rPr>
            </w:pPr>
          </w:p>
        </w:tc>
        <w:tc>
          <w:tcPr>
            <w:tcW w:w="11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color w:val="auto"/>
              </w:rPr>
              <w:t>Retail POS</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color w:val="auto"/>
              </w:rPr>
              <w:t>Corporate/</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color w:val="auto"/>
              </w:rPr>
              <w:t>America</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color w:val="auto"/>
                <w:w w:val="99"/>
              </w:rPr>
              <w:t>Payment</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color w:val="auto"/>
              </w:rPr>
              <w:t>Intersegment</w:t>
            </w:r>
          </w:p>
        </w:tc>
        <w:tc>
          <w:tcPr>
            <w:tcW w:w="140" w:type="dxa"/>
            <w:vAlign w:val="bottom"/>
          </w:tcPr>
          <w:p>
            <w:pPr>
              <w:spacing w:after="0"/>
              <w:rPr>
                <w:sz w:val="14"/>
                <w:szCs w:val="14"/>
                <w:color w:val="auto"/>
              </w:rPr>
            </w:pPr>
          </w:p>
        </w:tc>
        <w:tc>
          <w:tcPr>
            <w:tcW w:w="10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Consolidated</w:t>
            </w:r>
          </w:p>
        </w:tc>
        <w:tc>
          <w:tcPr>
            <w:tcW w:w="0" w:type="dxa"/>
            <w:vAlign w:val="bottom"/>
          </w:tcPr>
          <w:p>
            <w:pPr>
              <w:spacing w:after="0"/>
              <w:rPr>
                <w:sz w:val="1"/>
                <w:szCs w:val="1"/>
                <w:color w:val="auto"/>
              </w:rPr>
            </w:pPr>
          </w:p>
        </w:tc>
      </w:tr>
      <w:tr>
        <w:trPr>
          <w:trHeight w:val="213"/>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rPr>
              <w:t>Pawn</w:t>
            </w:r>
          </w:p>
        </w:tc>
        <w:tc>
          <w:tcPr>
            <w:tcW w:w="200" w:type="dxa"/>
            <w:vAlign w:val="bottom"/>
          </w:tcPr>
          <w:p>
            <w:pPr>
              <w:spacing w:after="0"/>
              <w:rPr>
                <w:sz w:val="18"/>
                <w:szCs w:val="18"/>
                <w:color w:val="auto"/>
              </w:rPr>
            </w:pPr>
          </w:p>
        </w:tc>
        <w:tc>
          <w:tcPr>
            <w:tcW w:w="9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Pawn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rPr>
              <w:t>Pawn</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Solutions</w:t>
            </w: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Eliminations</w:t>
            </w: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Retail merchandise sales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252,963</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144,644</w:t>
            </w: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410,968</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Pawn loan fees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67,199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221,088</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Leased merchandise income</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132,540</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and fees on retail finance products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81,683</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Wholesale scrap jewelry sales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17,831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86,710</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revenue</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w:t>
            </w:r>
          </w:p>
        </w:tc>
        <w:tc>
          <w:tcPr>
            <w:tcW w:w="0" w:type="dxa"/>
            <w:vAlign w:val="bottom"/>
          </w:tcPr>
          <w:p>
            <w:pPr>
              <w:spacing w:after="0"/>
              <w:rPr>
                <w:sz w:val="1"/>
                <w:szCs w:val="1"/>
                <w:color w:val="auto"/>
              </w:rPr>
            </w:pPr>
          </w:p>
        </w:tc>
      </w:tr>
      <w:tr>
        <w:trPr>
          <w:trHeight w:val="207"/>
        </w:trPr>
        <w:tc>
          <w:tcPr>
            <w:tcW w:w="37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Total revenue</w:t>
            </w: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437,437</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229,674</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54,950</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214,223</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935,579</w:t>
            </w:r>
          </w:p>
        </w:tc>
        <w:tc>
          <w:tcPr>
            <w:tcW w:w="0" w:type="dxa"/>
            <w:vAlign w:val="bottom"/>
          </w:tcPr>
          <w:p>
            <w:pPr>
              <w:spacing w:after="0"/>
              <w:rPr>
                <w:sz w:val="1"/>
                <w:szCs w:val="1"/>
                <w:color w:val="auto"/>
              </w:rPr>
            </w:pPr>
          </w:p>
        </w:tc>
      </w:tr>
      <w:tr>
        <w:trPr>
          <w:trHeight w:val="77"/>
        </w:trPr>
        <w:tc>
          <w:tcPr>
            <w:tcW w:w="37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retail merchandise sold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92,931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248,723</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of leased merchandise</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76,028</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lease losses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27,920</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 for loan losses</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40,347</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wholesale scrap jewelry sold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68,220</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cost of revenue</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cost of revenue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183,931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107,931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26,089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144,605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461,872</w:t>
            </w:r>
          </w:p>
        </w:tc>
        <w:tc>
          <w:tcPr>
            <w:tcW w:w="0" w:type="dxa"/>
            <w:vAlign w:val="bottom"/>
          </w:tcPr>
          <w:p>
            <w:pPr>
              <w:spacing w:after="0"/>
              <w:rPr>
                <w:sz w:val="1"/>
                <w:szCs w:val="1"/>
                <w:color w:val="auto"/>
              </w:rPr>
            </w:pPr>
          </w:p>
        </w:tc>
      </w:tr>
      <w:tr>
        <w:trPr>
          <w:trHeight w:val="77"/>
        </w:trPr>
        <w:tc>
          <w:tcPr>
            <w:tcW w:w="3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253,506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121,743</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69,618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473,707</w:t>
            </w:r>
          </w:p>
        </w:tc>
        <w:tc>
          <w:tcPr>
            <w:tcW w:w="0" w:type="dxa"/>
            <w:vAlign w:val="bottom"/>
          </w:tcPr>
          <w:p>
            <w:pPr>
              <w:spacing w:after="0"/>
              <w:rPr>
                <w:sz w:val="1"/>
                <w:szCs w:val="1"/>
                <w:color w:val="auto"/>
              </w:rPr>
            </w:pPr>
          </w:p>
        </w:tc>
      </w:tr>
      <w:tr>
        <w:trPr>
          <w:trHeight w:val="77"/>
        </w:trPr>
        <w:tc>
          <w:tcPr>
            <w:tcW w:w="3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Expenses and other income: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70,327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236,528</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Administrative expenses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58,845</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29,034</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32,216</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on foreign exchange</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Merger and acquisition expenses</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9,472</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income, net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(3,740)</w:t>
            </w:r>
          </w:p>
        </w:tc>
        <w:tc>
          <w:tcPr>
            <w:tcW w:w="0" w:type="dxa"/>
            <w:vAlign w:val="bottom"/>
          </w:tcPr>
          <w:p>
            <w:pPr>
              <w:spacing w:after="0"/>
              <w:rPr>
                <w:sz w:val="1"/>
                <w:szCs w:val="1"/>
                <w:color w:val="auto"/>
              </w:rPr>
            </w:pPr>
          </w:p>
        </w:tc>
      </w:tr>
      <w:tr>
        <w:trPr>
          <w:trHeight w:val="207"/>
        </w:trPr>
        <w:tc>
          <w:tcPr>
            <w:tcW w:w="37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Total expenses and other income</w:t>
            </w: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141,488</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74,770</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10,967</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23,639</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110,364</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361,228</w:t>
            </w:r>
          </w:p>
        </w:tc>
        <w:tc>
          <w:tcPr>
            <w:tcW w:w="0" w:type="dxa"/>
            <w:vAlign w:val="bottom"/>
          </w:tcPr>
          <w:p>
            <w:pPr>
              <w:spacing w:after="0"/>
              <w:rPr>
                <w:sz w:val="1"/>
                <w:szCs w:val="1"/>
                <w:color w:val="auto"/>
              </w:rPr>
            </w:pPr>
          </w:p>
        </w:tc>
      </w:tr>
      <w:tr>
        <w:trPr>
          <w:trHeight w:val="77"/>
        </w:trPr>
        <w:tc>
          <w:tcPr>
            <w:tcW w:w="37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112,018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46,973</w:t>
            </w: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45,979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(110,385)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112,479</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9" w:name="page30"/>
    <w:bookmarkEnd w:id="29"/>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6"/>
                <w:szCs w:val="16"/>
                <w:color w:val="auto"/>
              </w:rPr>
              <w:t>Nine Months Ended September 30, 2025</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color w:val="auto"/>
              </w:rPr>
              <w:t>U.S.</w:t>
            </w:r>
          </w:p>
        </w:tc>
        <w:tc>
          <w:tcPr>
            <w:tcW w:w="200" w:type="dxa"/>
            <w:vAlign w:val="bottom"/>
          </w:tcPr>
          <w:p>
            <w:pPr>
              <w:spacing w:after="0"/>
              <w:rPr>
                <w:sz w:val="13"/>
                <w:szCs w:val="13"/>
                <w:color w:val="auto"/>
              </w:rPr>
            </w:pPr>
          </w:p>
        </w:tc>
        <w:tc>
          <w:tcPr>
            <w:tcW w:w="960" w:type="dxa"/>
            <w:vAlign w:val="bottom"/>
          </w:tcPr>
          <w:p>
            <w:pPr>
              <w:jc w:val="center"/>
              <w:ind w:right="139"/>
              <w:spacing w:after="0" w:line="158" w:lineRule="exact"/>
              <w:rPr>
                <w:sz w:val="20"/>
                <w:szCs w:val="20"/>
                <w:color w:val="auto"/>
              </w:rPr>
            </w:pPr>
            <w:r>
              <w:rPr>
                <w:rFonts w:ascii="Times New Roman" w:cs="Times New Roman" w:eastAsia="Times New Roman" w:hAnsi="Times New Roman"/>
                <w:sz w:val="16"/>
                <w:szCs w:val="16"/>
                <w:color w:val="auto"/>
              </w:rPr>
              <w:t>Latin</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color w:val="auto"/>
              </w:rPr>
              <w:t>U.K.</w:t>
            </w:r>
          </w:p>
        </w:tc>
        <w:tc>
          <w:tcPr>
            <w:tcW w:w="160" w:type="dxa"/>
            <w:vAlign w:val="bottom"/>
          </w:tcPr>
          <w:p>
            <w:pPr>
              <w:spacing w:after="0"/>
              <w:rPr>
                <w:sz w:val="13"/>
                <w:szCs w:val="13"/>
                <w:color w:val="auto"/>
              </w:rPr>
            </w:pPr>
          </w:p>
        </w:tc>
        <w:tc>
          <w:tcPr>
            <w:tcW w:w="1120" w:type="dxa"/>
            <w:vAlign w:val="bottom"/>
            <w:gridSpan w:val="3"/>
          </w:tcPr>
          <w:p>
            <w:pPr>
              <w:jc w:val="center"/>
              <w:ind w:right="280"/>
              <w:spacing w:after="0" w:line="158" w:lineRule="exact"/>
              <w:rPr>
                <w:sz w:val="20"/>
                <w:szCs w:val="20"/>
                <w:color w:val="auto"/>
              </w:rPr>
            </w:pPr>
            <w:r>
              <w:rPr>
                <w:rFonts w:ascii="Times New Roman" w:cs="Times New Roman" w:eastAsia="Times New Roman" w:hAnsi="Times New Roman"/>
                <w:sz w:val="16"/>
                <w:szCs w:val="16"/>
                <w:color w:val="auto"/>
              </w:rPr>
              <w:t>Retail POS</w:t>
            </w:r>
          </w:p>
        </w:tc>
        <w:tc>
          <w:tcPr>
            <w:tcW w:w="120" w:type="dxa"/>
            <w:vAlign w:val="bottom"/>
          </w:tcPr>
          <w:p>
            <w:pPr>
              <w:spacing w:after="0"/>
              <w:rPr>
                <w:sz w:val="13"/>
                <w:szCs w:val="13"/>
                <w:color w:val="auto"/>
              </w:rPr>
            </w:pPr>
          </w:p>
        </w:tc>
        <w:tc>
          <w:tcPr>
            <w:tcW w:w="11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color w:val="auto"/>
              </w:rPr>
              <w:t>Corporate/</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color w:val="auto"/>
              </w:rPr>
              <w:t>America</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jc w:val="center"/>
              <w:ind w:right="280"/>
              <w:spacing w:after="0" w:line="162" w:lineRule="exact"/>
              <w:rPr>
                <w:sz w:val="20"/>
                <w:szCs w:val="20"/>
                <w:color w:val="auto"/>
              </w:rPr>
            </w:pPr>
            <w:r>
              <w:rPr>
                <w:rFonts w:ascii="Times New Roman" w:cs="Times New Roman" w:eastAsia="Times New Roman" w:hAnsi="Times New Roman"/>
                <w:sz w:val="16"/>
                <w:szCs w:val="16"/>
                <w:color w:val="auto"/>
                <w:w w:val="99"/>
              </w:rPr>
              <w:t>Payment</w:t>
            </w:r>
          </w:p>
        </w:tc>
        <w:tc>
          <w:tcPr>
            <w:tcW w:w="120" w:type="dxa"/>
            <w:vAlign w:val="bottom"/>
          </w:tcPr>
          <w:p>
            <w:pPr>
              <w:spacing w:after="0"/>
              <w:rPr>
                <w:sz w:val="14"/>
                <w:szCs w:val="14"/>
                <w:color w:val="auto"/>
              </w:rPr>
            </w:pPr>
          </w:p>
        </w:tc>
        <w:tc>
          <w:tcPr>
            <w:tcW w:w="11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color w:val="auto"/>
              </w:rPr>
              <w:t>Intersegment</w:t>
            </w:r>
          </w:p>
        </w:tc>
        <w:tc>
          <w:tcPr>
            <w:tcW w:w="140" w:type="dxa"/>
            <w:vAlign w:val="bottom"/>
          </w:tcPr>
          <w:p>
            <w:pPr>
              <w:spacing w:after="0"/>
              <w:rPr>
                <w:sz w:val="14"/>
                <w:szCs w:val="14"/>
                <w:color w:val="auto"/>
              </w:rPr>
            </w:pPr>
          </w:p>
        </w:tc>
        <w:tc>
          <w:tcPr>
            <w:tcW w:w="10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Consolidated</w:t>
            </w:r>
          </w:p>
        </w:tc>
        <w:tc>
          <w:tcPr>
            <w:tcW w:w="0" w:type="dxa"/>
            <w:vAlign w:val="bottom"/>
          </w:tcPr>
          <w:p>
            <w:pPr>
              <w:spacing w:after="0"/>
              <w:rPr>
                <w:sz w:val="1"/>
                <w:szCs w:val="1"/>
                <w:color w:val="auto"/>
              </w:rPr>
            </w:pPr>
          </w:p>
        </w:tc>
      </w:tr>
      <w:tr>
        <w:trPr>
          <w:trHeight w:val="213"/>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rPr>
              <w:t>Pawn</w:t>
            </w:r>
          </w:p>
        </w:tc>
        <w:tc>
          <w:tcPr>
            <w:tcW w:w="200" w:type="dxa"/>
            <w:vAlign w:val="bottom"/>
          </w:tcPr>
          <w:p>
            <w:pPr>
              <w:spacing w:after="0"/>
              <w:rPr>
                <w:sz w:val="18"/>
                <w:szCs w:val="18"/>
                <w:color w:val="auto"/>
              </w:rPr>
            </w:pPr>
          </w:p>
        </w:tc>
        <w:tc>
          <w:tcPr>
            <w:tcW w:w="96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Pawn</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Pawn</w:t>
            </w:r>
          </w:p>
        </w:tc>
        <w:tc>
          <w:tcPr>
            <w:tcW w:w="160" w:type="dxa"/>
            <w:vAlign w:val="bottom"/>
          </w:tcPr>
          <w:p>
            <w:pPr>
              <w:spacing w:after="0"/>
              <w:rPr>
                <w:sz w:val="18"/>
                <w:szCs w:val="18"/>
                <w:color w:val="auto"/>
              </w:rPr>
            </w:pPr>
          </w:p>
        </w:tc>
        <w:tc>
          <w:tcPr>
            <w:tcW w:w="112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color w:val="auto"/>
              </w:rPr>
              <w:t>Solutions</w:t>
            </w: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Eliminations</w:t>
            </w: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Retail merchandise sales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754,106</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401,132</w:t>
            </w:r>
          </w:p>
        </w:tc>
        <w:tc>
          <w:tcPr>
            <w:tcW w:w="3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1,167,149</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Pawn loan fees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407,763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603,781</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Leased merchandise income</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429,242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429,242</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and fees on retail finance products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231,171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231,171</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Wholesale scrap jewelry sales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168,691</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revenue</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w:t>
            </w:r>
          </w:p>
        </w:tc>
        <w:tc>
          <w:tcPr>
            <w:tcW w:w="0" w:type="dxa"/>
            <w:vAlign w:val="bottom"/>
          </w:tcPr>
          <w:p>
            <w:pPr>
              <w:spacing w:after="0"/>
              <w:rPr>
                <w:sz w:val="1"/>
                <w:szCs w:val="1"/>
                <w:color w:val="auto"/>
              </w:rPr>
            </w:pPr>
          </w:p>
        </w:tc>
      </w:tr>
      <w:tr>
        <w:trPr>
          <w:trHeight w:val="207"/>
        </w:trPr>
        <w:tc>
          <w:tcPr>
            <w:tcW w:w="37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Total revenue</w:t>
            </w: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1,269,708</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619,708</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54,950</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660,413</w:t>
            </w:r>
          </w:p>
        </w:tc>
        <w:tc>
          <w:tcPr>
            <w:tcW w:w="10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(2,155)</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2,602,624</w:t>
            </w:r>
          </w:p>
        </w:tc>
        <w:tc>
          <w:tcPr>
            <w:tcW w:w="0" w:type="dxa"/>
            <w:vAlign w:val="bottom"/>
          </w:tcPr>
          <w:p>
            <w:pPr>
              <w:spacing w:after="0"/>
              <w:rPr>
                <w:sz w:val="1"/>
                <w:szCs w:val="1"/>
                <w:color w:val="auto"/>
              </w:rPr>
            </w:pPr>
          </w:p>
        </w:tc>
      </w:tr>
      <w:tr>
        <w:trPr>
          <w:trHeight w:val="77"/>
        </w:trPr>
        <w:tc>
          <w:tcPr>
            <w:tcW w:w="37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retail merchandise sold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434,318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259,249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703,173</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of leased merchandise</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243,925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243,119</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lease losses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88,276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88,025</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 for loan losses</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118,468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118,468</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wholesale scrap jewelry sold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138,479</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cost of revenue</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cost of revenue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526,327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291,019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26,089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450,669</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1,291,898</w:t>
            </w:r>
          </w:p>
        </w:tc>
        <w:tc>
          <w:tcPr>
            <w:tcW w:w="0" w:type="dxa"/>
            <w:vAlign w:val="bottom"/>
          </w:tcPr>
          <w:p>
            <w:pPr>
              <w:spacing w:after="0"/>
              <w:rPr>
                <w:sz w:val="1"/>
                <w:szCs w:val="1"/>
                <w:color w:val="auto"/>
              </w:rPr>
            </w:pPr>
          </w:p>
        </w:tc>
      </w:tr>
      <w:tr>
        <w:trPr>
          <w:trHeight w:val="77"/>
        </w:trPr>
        <w:tc>
          <w:tcPr>
            <w:tcW w:w="3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743,381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328,689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209,744</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1,310,726</w:t>
            </w:r>
          </w:p>
        </w:tc>
        <w:tc>
          <w:tcPr>
            <w:tcW w:w="0" w:type="dxa"/>
            <w:vAlign w:val="bottom"/>
          </w:tcPr>
          <w:p>
            <w:pPr>
              <w:spacing w:after="0"/>
              <w:rPr>
                <w:sz w:val="1"/>
                <w:szCs w:val="1"/>
                <w:color w:val="auto"/>
              </w:rPr>
            </w:pPr>
          </w:p>
        </w:tc>
      </w:tr>
      <w:tr>
        <w:trPr>
          <w:trHeight w:val="77"/>
        </w:trPr>
        <w:tc>
          <w:tcPr>
            <w:tcW w:w="3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Expenses and other income: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395,790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196,158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71,434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673,607</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Administrative expenses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166,631</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80,400</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86,024</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(2,664)</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on foreign exchange</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Merger and acquisition expenses</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12,711</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income, net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(9,254)</w:t>
            </w:r>
          </w:p>
        </w:tc>
        <w:tc>
          <w:tcPr>
            <w:tcW w:w="0" w:type="dxa"/>
            <w:vAlign w:val="bottom"/>
          </w:tcPr>
          <w:p>
            <w:pPr>
              <w:spacing w:after="0"/>
              <w:rPr>
                <w:sz w:val="1"/>
                <w:szCs w:val="1"/>
                <w:color w:val="auto"/>
              </w:rPr>
            </w:pPr>
          </w:p>
        </w:tc>
      </w:tr>
      <w:tr>
        <w:trPr>
          <w:trHeight w:val="207"/>
        </w:trPr>
        <w:tc>
          <w:tcPr>
            <w:tcW w:w="37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Total expenses and other income</w:t>
            </w: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419,945</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209,331</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10,967</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73,525</w:t>
            </w:r>
          </w:p>
        </w:tc>
        <w:tc>
          <w:tcPr>
            <w:tcW w:w="10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292,183</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1,005,951</w:t>
            </w:r>
          </w:p>
        </w:tc>
        <w:tc>
          <w:tcPr>
            <w:tcW w:w="0" w:type="dxa"/>
            <w:vAlign w:val="bottom"/>
          </w:tcPr>
          <w:p>
            <w:pPr>
              <w:spacing w:after="0"/>
              <w:rPr>
                <w:sz w:val="1"/>
                <w:szCs w:val="1"/>
                <w:color w:val="auto"/>
              </w:rPr>
            </w:pPr>
          </w:p>
        </w:tc>
      </w:tr>
      <w:tr>
        <w:trPr>
          <w:trHeight w:val="77"/>
        </w:trPr>
        <w:tc>
          <w:tcPr>
            <w:tcW w:w="37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323,436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119,358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17,894</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136,219</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(292,132)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304,775</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2"/>
        </w:trPr>
        <w:tc>
          <w:tcPr>
            <w:tcW w:w="3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center"/>
              <w:ind w:right="340"/>
              <w:spacing w:after="0"/>
              <w:rPr>
                <w:sz w:val="20"/>
                <w:szCs w:val="20"/>
                <w:color w:val="auto"/>
              </w:rPr>
            </w:pPr>
            <w:r>
              <w:rPr>
                <w:rFonts w:ascii="Times New Roman" w:cs="Times New Roman" w:eastAsia="Times New Roman" w:hAnsi="Times New Roman"/>
                <w:sz w:val="16"/>
                <w:szCs w:val="16"/>
                <w:color w:val="auto"/>
              </w:rPr>
              <w:t>As of September 30, 2025</w:t>
            </w: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color w:val="auto"/>
              </w:rPr>
              <w:t>U.S.</w:t>
            </w:r>
          </w:p>
        </w:tc>
        <w:tc>
          <w:tcPr>
            <w:tcW w:w="200" w:type="dxa"/>
            <w:vAlign w:val="bottom"/>
          </w:tcPr>
          <w:p>
            <w:pPr>
              <w:spacing w:after="0"/>
              <w:rPr>
                <w:sz w:val="13"/>
                <w:szCs w:val="13"/>
                <w:color w:val="auto"/>
              </w:rPr>
            </w:pPr>
          </w:p>
        </w:tc>
        <w:tc>
          <w:tcPr>
            <w:tcW w:w="960" w:type="dxa"/>
            <w:vAlign w:val="bottom"/>
          </w:tcPr>
          <w:p>
            <w:pPr>
              <w:jc w:val="center"/>
              <w:ind w:right="139"/>
              <w:spacing w:after="0" w:line="158" w:lineRule="exact"/>
              <w:rPr>
                <w:sz w:val="20"/>
                <w:szCs w:val="20"/>
                <w:color w:val="auto"/>
              </w:rPr>
            </w:pPr>
            <w:r>
              <w:rPr>
                <w:rFonts w:ascii="Times New Roman" w:cs="Times New Roman" w:eastAsia="Times New Roman" w:hAnsi="Times New Roman"/>
                <w:sz w:val="16"/>
                <w:szCs w:val="16"/>
                <w:color w:val="auto"/>
              </w:rPr>
              <w:t>Latin</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color w:val="auto"/>
              </w:rPr>
              <w:t>U.K.</w:t>
            </w:r>
          </w:p>
        </w:tc>
        <w:tc>
          <w:tcPr>
            <w:tcW w:w="160" w:type="dxa"/>
            <w:vAlign w:val="bottom"/>
          </w:tcPr>
          <w:p>
            <w:pPr>
              <w:spacing w:after="0"/>
              <w:rPr>
                <w:sz w:val="13"/>
                <w:szCs w:val="13"/>
                <w:color w:val="auto"/>
              </w:rPr>
            </w:pPr>
          </w:p>
        </w:tc>
        <w:tc>
          <w:tcPr>
            <w:tcW w:w="1120" w:type="dxa"/>
            <w:vAlign w:val="bottom"/>
            <w:gridSpan w:val="3"/>
          </w:tcPr>
          <w:p>
            <w:pPr>
              <w:jc w:val="center"/>
              <w:ind w:right="280"/>
              <w:spacing w:after="0" w:line="158" w:lineRule="exact"/>
              <w:rPr>
                <w:sz w:val="20"/>
                <w:szCs w:val="20"/>
                <w:color w:val="auto"/>
              </w:rPr>
            </w:pPr>
            <w:r>
              <w:rPr>
                <w:rFonts w:ascii="Times New Roman" w:cs="Times New Roman" w:eastAsia="Times New Roman" w:hAnsi="Times New Roman"/>
                <w:sz w:val="16"/>
                <w:szCs w:val="16"/>
                <w:color w:val="auto"/>
              </w:rPr>
              <w:t>Retail POS</w:t>
            </w:r>
          </w:p>
        </w:tc>
        <w:tc>
          <w:tcPr>
            <w:tcW w:w="120" w:type="dxa"/>
            <w:vAlign w:val="bottom"/>
          </w:tcPr>
          <w:p>
            <w:pPr>
              <w:spacing w:after="0"/>
              <w:rPr>
                <w:sz w:val="13"/>
                <w:szCs w:val="13"/>
                <w:color w:val="auto"/>
              </w:rPr>
            </w:pPr>
          </w:p>
        </w:tc>
        <w:tc>
          <w:tcPr>
            <w:tcW w:w="11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color w:val="auto"/>
              </w:rPr>
              <w:t>Corporate/</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color w:val="auto"/>
              </w:rPr>
              <w:t>America</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jc w:val="center"/>
              <w:ind w:right="280"/>
              <w:spacing w:after="0" w:line="162" w:lineRule="exact"/>
              <w:rPr>
                <w:sz w:val="20"/>
                <w:szCs w:val="20"/>
                <w:color w:val="auto"/>
              </w:rPr>
            </w:pPr>
            <w:r>
              <w:rPr>
                <w:rFonts w:ascii="Times New Roman" w:cs="Times New Roman" w:eastAsia="Times New Roman" w:hAnsi="Times New Roman"/>
                <w:sz w:val="16"/>
                <w:szCs w:val="16"/>
                <w:color w:val="auto"/>
                <w:w w:val="99"/>
              </w:rPr>
              <w:t>Payment</w:t>
            </w:r>
          </w:p>
        </w:tc>
        <w:tc>
          <w:tcPr>
            <w:tcW w:w="120" w:type="dxa"/>
            <w:vAlign w:val="bottom"/>
          </w:tcPr>
          <w:p>
            <w:pPr>
              <w:spacing w:after="0"/>
              <w:rPr>
                <w:sz w:val="14"/>
                <w:szCs w:val="14"/>
                <w:color w:val="auto"/>
              </w:rPr>
            </w:pPr>
          </w:p>
        </w:tc>
        <w:tc>
          <w:tcPr>
            <w:tcW w:w="11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color w:val="auto"/>
              </w:rPr>
              <w:t>Intersegment</w:t>
            </w:r>
          </w:p>
        </w:tc>
        <w:tc>
          <w:tcPr>
            <w:tcW w:w="140" w:type="dxa"/>
            <w:vAlign w:val="bottom"/>
          </w:tcPr>
          <w:p>
            <w:pPr>
              <w:spacing w:after="0"/>
              <w:rPr>
                <w:sz w:val="14"/>
                <w:szCs w:val="14"/>
                <w:color w:val="auto"/>
              </w:rPr>
            </w:pPr>
          </w:p>
        </w:tc>
        <w:tc>
          <w:tcPr>
            <w:tcW w:w="10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Consolidated</w:t>
            </w:r>
          </w:p>
        </w:tc>
        <w:tc>
          <w:tcPr>
            <w:tcW w:w="0" w:type="dxa"/>
            <w:vAlign w:val="bottom"/>
          </w:tcPr>
          <w:p>
            <w:pPr>
              <w:spacing w:after="0"/>
              <w:rPr>
                <w:sz w:val="1"/>
                <w:szCs w:val="1"/>
                <w:color w:val="auto"/>
              </w:rPr>
            </w:pPr>
          </w:p>
        </w:tc>
      </w:tr>
      <w:tr>
        <w:trPr>
          <w:trHeight w:val="213"/>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rPr>
              <w:t>Pawn</w:t>
            </w:r>
          </w:p>
        </w:tc>
        <w:tc>
          <w:tcPr>
            <w:tcW w:w="200" w:type="dxa"/>
            <w:vAlign w:val="bottom"/>
          </w:tcPr>
          <w:p>
            <w:pPr>
              <w:spacing w:after="0"/>
              <w:rPr>
                <w:sz w:val="18"/>
                <w:szCs w:val="18"/>
                <w:color w:val="auto"/>
              </w:rPr>
            </w:pPr>
          </w:p>
        </w:tc>
        <w:tc>
          <w:tcPr>
            <w:tcW w:w="96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Pawn</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Pawn</w:t>
            </w:r>
          </w:p>
        </w:tc>
        <w:tc>
          <w:tcPr>
            <w:tcW w:w="160" w:type="dxa"/>
            <w:vAlign w:val="bottom"/>
          </w:tcPr>
          <w:p>
            <w:pPr>
              <w:spacing w:after="0"/>
              <w:rPr>
                <w:sz w:val="18"/>
                <w:szCs w:val="18"/>
                <w:color w:val="auto"/>
              </w:rPr>
            </w:pPr>
          </w:p>
        </w:tc>
        <w:tc>
          <w:tcPr>
            <w:tcW w:w="112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color w:val="auto"/>
              </w:rPr>
              <w:t>Solutions</w:t>
            </w: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Eliminations</w:t>
            </w: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Pawn loans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426,288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173,203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188,639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788,130</w:t>
            </w:r>
          </w:p>
        </w:tc>
        <w:tc>
          <w:tcPr>
            <w:tcW w:w="0" w:type="dxa"/>
            <w:vAlign w:val="bottom"/>
          </w:tcPr>
          <w:p>
            <w:pPr>
              <w:spacing w:after="0"/>
              <w:rPr>
                <w:sz w:val="1"/>
                <w:szCs w:val="1"/>
                <w:color w:val="auto"/>
              </w:rPr>
            </w:pPr>
          </w:p>
        </w:tc>
      </w:tr>
      <w:tr>
        <w:trPr>
          <w:trHeight w:val="213"/>
        </w:trPr>
        <w:tc>
          <w:tcPr>
            <w:tcW w:w="3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Finance receivables, net</w:t>
            </w:r>
          </w:p>
        </w:tc>
        <w:tc>
          <w:tcPr>
            <w:tcW w:w="2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153,134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153,134</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266,452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124,081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456,273</w:t>
            </w:r>
          </w:p>
        </w:tc>
        <w:tc>
          <w:tcPr>
            <w:tcW w:w="0" w:type="dxa"/>
            <w:vAlign w:val="bottom"/>
          </w:tcPr>
          <w:p>
            <w:pPr>
              <w:spacing w:after="0"/>
              <w:rPr>
                <w:sz w:val="1"/>
                <w:szCs w:val="1"/>
                <w:color w:val="auto"/>
              </w:rPr>
            </w:pPr>
          </w:p>
        </w:tc>
      </w:tr>
      <w:tr>
        <w:trPr>
          <w:trHeight w:val="213"/>
        </w:trPr>
        <w:tc>
          <w:tcPr>
            <w:tcW w:w="3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Leased merchandise, net</w:t>
            </w:r>
          </w:p>
        </w:tc>
        <w:tc>
          <w:tcPr>
            <w:tcW w:w="2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99,909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99,725</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1,156,052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486,205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1,970,358</w:t>
            </w:r>
          </w:p>
        </w:tc>
        <w:tc>
          <w:tcPr>
            <w:tcW w:w="0" w:type="dxa"/>
            <w:vAlign w:val="bottom"/>
          </w:tcPr>
          <w:p>
            <w:pPr>
              <w:spacing w:after="0"/>
              <w:rPr>
                <w:sz w:val="1"/>
                <w:szCs w:val="1"/>
                <w:color w:val="auto"/>
              </w:rPr>
            </w:pPr>
          </w:p>
        </w:tc>
      </w:tr>
      <w:tr>
        <w:trPr>
          <w:trHeight w:val="210"/>
        </w:trPr>
        <w:tc>
          <w:tcPr>
            <w:tcW w:w="3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2,800,729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780,099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546,739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887,899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166,850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5,182,316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0" w:name="page31"/>
    <w:bookmarkEnd w:id="30"/>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ITEM 2. MANAGEMENT’S DISCUSSION AND ANALYSIS OF FINANCIAL CONDITION AND RESULTS OF OPERATIONS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discussion of financial condition, results of operations, liquidity and capital resources of FirstCash Holdings, Inc. and its wholly-owned subsidiaries (together, the “Company”) should be read in conjunction with the Company’s consolidated financial statements and accompanying notes included under Part I, Item 1 of this quarterly report on Form 10-Q, as well as with the audited consolidated financial statements and accompanying notes and Management’s Discussion and Analysis of Financial Condition and Results of Operations included in the Company’s Annual Report on Form 10-K for the year ended December 31,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Company’s primary line of business is the operation of retail pawn stores, also known as “pawnshops,” which focus on serving cash- and credit-constrained consumers. The Company is the leading international operator of pawn stores with locations in the U.S., Latin America and the U.K. Pawn stores help customers meet small short-term cash needs by providing non-recourse pawn loans and buying merchandise directly from customers. Personal property, such as jewelry, electronics, tools, appliances, sporting goods and musical instruments, is pledged and held as collateral for the pawn loans over the term of the loan. Pawn stores also generate retail sales primarily from the merchandise acquired through collateral forfeitures and over-the-counter purchases from customers.</w:t>
      </w:r>
    </w:p>
    <w:p>
      <w:pPr>
        <w:spacing w:after="0" w:line="2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completed the acquisition of H&amp;T, the leading pawn operator in the U.K., on August 14, 2025, the date the balance sheet and operating results of H&amp;T, as reported in the U.K. pawn segment, were included in the Company’s consolidated financial results.</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is also a leading provider of customer payment solutions at the POS for retailers of consumer goods and services, which it conducts solely through its subsidiary, AFF. The Company’s customer payment solutions business line focuses on LTO products and facilitating other retail financing payment options across a large network of traditional and e-commerce merchant partners in the U.S. AFF’s retail partners provide consumer goods and services to their customers and use AFF’s LTO and retail finance solutions to facilitate payments on such transactions.</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two business lines are organized into four reportable segments. The U.S. pawn segment consists of pawn operations in the U.S.; the Latin America pawn segment consists of pawn operations in Mexico, Guatemala, El Salvador and Colombia; and the U.K. pawn segment consists of pawn operations in England, Scotland and Wales. The retail POS payment solutions segment consists of the operations of AFF in the U.S.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1" w:name="page32"/>
    <w:bookmarkEnd w:id="31"/>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AND LOCATIONS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Pawn Operations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 operated 3,352 pawn store locations composed of 1,215 stores in 29 U.S. states and the District of Columbia, 1,732 stores in 32 states in Mexico, 77 stores in Guatemala, 18 stores in El Salvador, 12 stores in Colombia and 298 stores in the U.K.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detail pawn store count activity for the three and nine months ended September 30, 2026:</w:t>
      </w:r>
    </w:p>
    <w:p>
      <w:pPr>
        <w:spacing w:after="0" w:line="29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6"/>
          <w:szCs w:val="16"/>
          <w:color w:val="auto"/>
        </w:rPr>
        <w:t>Three Months Ended September 30, 2026</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80" w:type="dxa"/>
            <w:vAlign w:val="bottom"/>
          </w:tcPr>
          <w:p>
            <w:pPr>
              <w:spacing w:after="0"/>
              <w:rPr>
                <w:sz w:val="18"/>
                <w:szCs w:val="18"/>
                <w:color w:val="auto"/>
              </w:rPr>
            </w:pPr>
          </w:p>
        </w:tc>
        <w:tc>
          <w:tcPr>
            <w:tcW w:w="108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U.S.</w:t>
            </w: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ind w:left="360"/>
              <w:spacing w:after="0"/>
              <w:rPr>
                <w:sz w:val="20"/>
                <w:szCs w:val="20"/>
                <w:color w:val="auto"/>
              </w:rPr>
            </w:pPr>
            <w:r>
              <w:rPr>
                <w:rFonts w:ascii="Times New Roman" w:cs="Times New Roman" w:eastAsia="Times New Roman" w:hAnsi="Times New Roman"/>
                <w:sz w:val="16"/>
                <w:szCs w:val="16"/>
                <w:color w:val="auto"/>
              </w:rPr>
              <w:t>Latin America</w:t>
            </w:r>
          </w:p>
        </w:tc>
        <w:tc>
          <w:tcPr>
            <w:tcW w:w="1740" w:type="dxa"/>
            <w:vAlign w:val="bottom"/>
            <w:tcBorders>
              <w:top w:val="single" w:sz="8" w:color="auto"/>
            </w:tcBorders>
            <w:gridSpan w:val="2"/>
          </w:tcPr>
          <w:p>
            <w:pPr>
              <w:ind w:left="660"/>
              <w:spacing w:after="0"/>
              <w:rPr>
                <w:sz w:val="20"/>
                <w:szCs w:val="20"/>
                <w:color w:val="auto"/>
              </w:rPr>
            </w:pPr>
            <w:r>
              <w:rPr>
                <w:rFonts w:ascii="Times New Roman" w:cs="Times New Roman" w:eastAsia="Times New Roman" w:hAnsi="Times New Roman"/>
                <w:sz w:val="16"/>
                <w:szCs w:val="16"/>
                <w:color w:val="auto"/>
              </w:rPr>
              <w:t>U.K.</w:t>
            </w:r>
          </w:p>
        </w:tc>
        <w:tc>
          <w:tcPr>
            <w:tcW w:w="1640" w:type="dxa"/>
            <w:vAlign w:val="bottom"/>
            <w:tcBorders>
              <w:top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Total</w:t>
            </w:r>
          </w:p>
        </w:tc>
      </w:tr>
      <w:tr>
        <w:trPr>
          <w:trHeight w:val="212"/>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locations, beginning of period</w:t>
            </w:r>
          </w:p>
        </w:tc>
        <w:tc>
          <w:tcPr>
            <w:tcW w:w="10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3,343</w:t>
            </w:r>
          </w:p>
        </w:tc>
      </w:tr>
      <w:tr>
        <w:trPr>
          <w:trHeight w:val="213"/>
        </w:trPr>
        <w:tc>
          <w:tcPr>
            <w:tcW w:w="54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New locations opened</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5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Locations acquired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6"/>
        </w:trPr>
        <w:tc>
          <w:tcPr>
            <w:tcW w:w="4380" w:type="dxa"/>
            <w:vAlign w:val="bottom"/>
            <w:tcBorders>
              <w:bottom w:val="single" w:sz="8" w:color="CCEEFF"/>
            </w:tcBorders>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Consolidation of existing pawn locations </w:t>
            </w:r>
            <w:r>
              <w:rPr>
                <w:rFonts w:ascii="Times New Roman" w:cs="Times New Roman" w:eastAsia="Times New Roman" w:hAnsi="Times New Roman"/>
                <w:sz w:val="21"/>
                <w:szCs w:val="21"/>
                <w:color w:val="auto"/>
                <w:vertAlign w:val="superscript"/>
              </w:rPr>
              <w:t>(1)</w:t>
            </w: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30"/>
        </w:trPr>
        <w:tc>
          <w:tcPr>
            <w:tcW w:w="43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locations, end of period</w:t>
            </w: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3,352</w:t>
            </w:r>
          </w:p>
        </w:tc>
      </w:tr>
      <w:tr>
        <w:trPr>
          <w:trHeight w:val="20"/>
        </w:trPr>
        <w:tc>
          <w:tcPr>
            <w:tcW w:w="4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700"/>
        </w:trPr>
        <w:tc>
          <w:tcPr>
            <w:tcW w:w="43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6"/>
                <w:szCs w:val="16"/>
                <w:color w:val="auto"/>
              </w:rPr>
              <w:t>Nine Months Ended September 30, 2026</w:t>
            </w:r>
          </w:p>
        </w:tc>
        <w:tc>
          <w:tcPr>
            <w:tcW w:w="1640" w:type="dxa"/>
            <w:vAlign w:val="bottom"/>
            <w:tcBorders>
              <w:bottom w:val="single" w:sz="8" w:color="auto"/>
            </w:tcBorders>
          </w:tcPr>
          <w:p>
            <w:pPr>
              <w:spacing w:after="0"/>
              <w:rPr>
                <w:sz w:val="24"/>
                <w:szCs w:val="24"/>
                <w:color w:val="auto"/>
              </w:rPr>
            </w:pPr>
          </w:p>
        </w:tc>
      </w:tr>
      <w:tr>
        <w:trPr>
          <w:trHeight w:val="210"/>
        </w:trPr>
        <w:tc>
          <w:tcPr>
            <w:tcW w:w="4380" w:type="dxa"/>
            <w:vAlign w:val="bottom"/>
          </w:tcPr>
          <w:p>
            <w:pPr>
              <w:spacing w:after="0"/>
              <w:rPr>
                <w:sz w:val="18"/>
                <w:szCs w:val="18"/>
                <w:color w:val="auto"/>
              </w:rPr>
            </w:pPr>
          </w:p>
        </w:tc>
        <w:tc>
          <w:tcPr>
            <w:tcW w:w="10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U.S.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Latin America</w:t>
            </w:r>
          </w:p>
        </w:tc>
        <w:tc>
          <w:tcPr>
            <w:tcW w:w="174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U.K.</w:t>
            </w:r>
          </w:p>
        </w:tc>
        <w:tc>
          <w:tcPr>
            <w:tcW w:w="164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Total</w:t>
            </w:r>
          </w:p>
        </w:tc>
      </w:tr>
      <w:tr>
        <w:trPr>
          <w:trHeight w:val="212"/>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locations, beginning of period</w:t>
            </w:r>
          </w:p>
        </w:tc>
        <w:tc>
          <w:tcPr>
            <w:tcW w:w="10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3,330</w:t>
            </w:r>
          </w:p>
        </w:tc>
      </w:tr>
      <w:tr>
        <w:trPr>
          <w:trHeight w:val="213"/>
        </w:trPr>
        <w:tc>
          <w:tcPr>
            <w:tcW w:w="54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New locations opened</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9"/>
        </w:trPr>
        <w:tc>
          <w:tcPr>
            <w:tcW w:w="5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Locations acquired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6"/>
        </w:trPr>
        <w:tc>
          <w:tcPr>
            <w:tcW w:w="4380" w:type="dxa"/>
            <w:vAlign w:val="bottom"/>
            <w:tcBorders>
              <w:bottom w:val="single" w:sz="8" w:color="CCEEFF"/>
            </w:tcBorders>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Consolidation of existing pawn locations </w:t>
            </w:r>
            <w:r>
              <w:rPr>
                <w:rFonts w:ascii="Times New Roman" w:cs="Times New Roman" w:eastAsia="Times New Roman" w:hAnsi="Times New Roman"/>
                <w:sz w:val="21"/>
                <w:szCs w:val="21"/>
                <w:color w:val="auto"/>
                <w:vertAlign w:val="superscript"/>
              </w:rPr>
              <w:t>(1)</w:t>
            </w: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29"/>
        </w:trPr>
        <w:tc>
          <w:tcPr>
            <w:tcW w:w="54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locations, end of period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3,352</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ind w:left="340" w:right="20" w:hanging="332"/>
        <w:spacing w:after="0" w:line="225" w:lineRule="auto"/>
        <w:tabs>
          <w:tab w:leader="none" w:pos="328"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Store consolidations, which include certain acquired locations that have been combined with overlapping stores, represent closings for which the Company expects to maintain a significant portion of the customer base in the consolidated location.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 Payment Solutions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2026, AFF provided LTO and retail POS payment solutions for consumer goods and services through a network of approximately 17,000 active retail merchant partner locations located in all 50 U.S. states and the District of Columbia, up from approximately 15,800 locations at September 30,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have been prepared in accordance with GAAP. The significant accounting policies and estimates that the Company believes are the most critical to aid in fully understanding and evaluating its reported financial results have been reported in the Company’s 2025 Annual Report on Form 10-K. There have been no changes to the Company’s significant accounting policies for the nine months ended September 30, 2026.</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(unaudited)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 for the Three Months Ended September 30, 2026 Compared to the Three Months Ended September 30, 2025</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and related discussion set forth key operating and financial data for the Company’s operations by reporting segment as of and for the three months ended September 30, 2026 compared to the three months ended September 30, 2025 (in thousands).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of the three pawn segments include salary and benefit expenses of store-level employees, occupancy costs, bank and other treasury fees, security, insurance, utilities, supplies and other costs incurred by the pawn stores. Operating expenses of the AFF segment include salary and benefit expenses of operations-focused departments, payment processing charges, data analytics and decisioning costs, information technology costs, advertising costs and other operational costs incurred by AFF.</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expenses and income, which include administrative expenses, corporate depreciation and amortization, interest expense, interest income, (gain) loss on foreign exchange, merger and acquisition expenses, and other income, net, are presented on a consolidated basis and are not allocated between the segments. Intersegment transactions related to AFF’s LTO payment solution product offered in U.S. pawn stores are eliminated from consolidated totals.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 2026</w:t>
            </w: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color w:val="auto"/>
              </w:rPr>
              <w:t>U.S.</w:t>
            </w:r>
          </w:p>
        </w:tc>
        <w:tc>
          <w:tcPr>
            <w:tcW w:w="200" w:type="dxa"/>
            <w:vAlign w:val="bottom"/>
          </w:tcPr>
          <w:p>
            <w:pPr>
              <w:spacing w:after="0"/>
              <w:rPr>
                <w:sz w:val="13"/>
                <w:szCs w:val="13"/>
                <w:color w:val="auto"/>
              </w:rPr>
            </w:pPr>
          </w:p>
        </w:tc>
        <w:tc>
          <w:tcPr>
            <w:tcW w:w="106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color w:val="auto"/>
              </w:rPr>
              <w:t>Latin</w:t>
            </w:r>
          </w:p>
        </w:tc>
        <w:tc>
          <w:tcPr>
            <w:tcW w:w="260" w:type="dxa"/>
            <w:vAlign w:val="bottom"/>
          </w:tcPr>
          <w:p>
            <w:pPr>
              <w:spacing w:after="0"/>
              <w:rPr>
                <w:sz w:val="13"/>
                <w:szCs w:val="13"/>
                <w:color w:val="auto"/>
              </w:rPr>
            </w:pPr>
          </w:p>
        </w:tc>
        <w:tc>
          <w:tcPr>
            <w:tcW w:w="10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6"/>
                <w:szCs w:val="16"/>
                <w:color w:val="auto"/>
              </w:rPr>
              <w:t>U.K.</w:t>
            </w:r>
          </w:p>
        </w:tc>
        <w:tc>
          <w:tcPr>
            <w:tcW w:w="160" w:type="dxa"/>
            <w:vAlign w:val="bottom"/>
          </w:tcPr>
          <w:p>
            <w:pPr>
              <w:spacing w:after="0"/>
              <w:rPr>
                <w:sz w:val="13"/>
                <w:szCs w:val="13"/>
                <w:color w:val="auto"/>
              </w:rPr>
            </w:pPr>
          </w:p>
        </w:tc>
        <w:tc>
          <w:tcPr>
            <w:tcW w:w="11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color w:val="auto"/>
              </w:rPr>
              <w:t>Retail POS</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color w:val="auto"/>
              </w:rPr>
              <w:t>Corporate/</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color w:val="auto"/>
              </w:rPr>
              <w:t>America</w:t>
            </w: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color w:val="auto"/>
                <w:w w:val="99"/>
              </w:rPr>
              <w:t>Payment</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color w:val="auto"/>
              </w:rPr>
              <w:t>Intersegment</w:t>
            </w:r>
          </w:p>
        </w:tc>
        <w:tc>
          <w:tcPr>
            <w:tcW w:w="140" w:type="dxa"/>
            <w:vAlign w:val="bottom"/>
          </w:tcPr>
          <w:p>
            <w:pPr>
              <w:spacing w:after="0"/>
              <w:rPr>
                <w:sz w:val="14"/>
                <w:szCs w:val="14"/>
                <w:color w:val="auto"/>
              </w:rPr>
            </w:pPr>
          </w:p>
        </w:tc>
        <w:tc>
          <w:tcPr>
            <w:tcW w:w="10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Consolidated</w:t>
            </w:r>
          </w:p>
        </w:tc>
        <w:tc>
          <w:tcPr>
            <w:tcW w:w="0" w:type="dxa"/>
            <w:vAlign w:val="bottom"/>
          </w:tcPr>
          <w:p>
            <w:pPr>
              <w:spacing w:after="0"/>
              <w:rPr>
                <w:sz w:val="1"/>
                <w:szCs w:val="1"/>
                <w:color w:val="auto"/>
              </w:rPr>
            </w:pPr>
          </w:p>
        </w:tc>
      </w:tr>
      <w:tr>
        <w:trPr>
          <w:trHeight w:val="213"/>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rPr>
              <w:t>Pawn</w:t>
            </w:r>
          </w:p>
        </w:tc>
        <w:tc>
          <w:tcPr>
            <w:tcW w:w="2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Pawn</w:t>
            </w:r>
          </w:p>
        </w:tc>
        <w:tc>
          <w:tcPr>
            <w:tcW w:w="26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rPr>
              <w:t>Pawn</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Solutions</w:t>
            </w: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Eliminations</w:t>
            </w: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Retail merchandise sales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278,937</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179,935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480,981</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Pawn loan fees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267,290</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Leased merchandise income</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103,057</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and fees on retail finance products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73,749</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Wholesale scrap jewelry sales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172,541</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revenue</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3,549</w:t>
            </w:r>
          </w:p>
        </w:tc>
        <w:tc>
          <w:tcPr>
            <w:tcW w:w="0" w:type="dxa"/>
            <w:vAlign w:val="bottom"/>
          </w:tcPr>
          <w:p>
            <w:pPr>
              <w:spacing w:after="0"/>
              <w:rPr>
                <w:sz w:val="1"/>
                <w:szCs w:val="1"/>
                <w:color w:val="auto"/>
              </w:rPr>
            </w:pPr>
          </w:p>
        </w:tc>
      </w:tr>
      <w:tr>
        <w:trPr>
          <w:trHeight w:val="207"/>
        </w:trPr>
        <w:tc>
          <w:tcPr>
            <w:tcW w:w="37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Total revenue</w:t>
            </w: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514,703</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310,706</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99,370</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176,806</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1,101,167</w:t>
            </w:r>
          </w:p>
        </w:tc>
        <w:tc>
          <w:tcPr>
            <w:tcW w:w="0" w:type="dxa"/>
            <w:vAlign w:val="bottom"/>
          </w:tcPr>
          <w:p>
            <w:pPr>
              <w:spacing w:after="0"/>
              <w:rPr>
                <w:sz w:val="1"/>
                <w:szCs w:val="1"/>
                <w:color w:val="auto"/>
              </w:rPr>
            </w:pPr>
          </w:p>
        </w:tc>
      </w:tr>
      <w:tr>
        <w:trPr>
          <w:trHeight w:val="77"/>
        </w:trPr>
        <w:tc>
          <w:tcPr>
            <w:tcW w:w="37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retail merchandise sold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294,274</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of leased merchandise</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63,113</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lease losses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17,021</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 for loan losses</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40,790</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wholesale scrap jewelry sold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140,159</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cost of revenue</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cost of revenue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229,579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157,225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48,131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121,061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555,624</w:t>
            </w:r>
          </w:p>
        </w:tc>
        <w:tc>
          <w:tcPr>
            <w:tcW w:w="0" w:type="dxa"/>
            <w:vAlign w:val="bottom"/>
          </w:tcPr>
          <w:p>
            <w:pPr>
              <w:spacing w:after="0"/>
              <w:rPr>
                <w:sz w:val="1"/>
                <w:szCs w:val="1"/>
                <w:color w:val="auto"/>
              </w:rPr>
            </w:pPr>
          </w:p>
        </w:tc>
      </w:tr>
      <w:tr>
        <w:trPr>
          <w:trHeight w:val="77"/>
        </w:trPr>
        <w:tc>
          <w:tcPr>
            <w:tcW w:w="3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285,124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153,481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51,239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55,745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545,543</w:t>
            </w:r>
          </w:p>
        </w:tc>
        <w:tc>
          <w:tcPr>
            <w:tcW w:w="0" w:type="dxa"/>
            <w:vAlign w:val="bottom"/>
          </w:tcPr>
          <w:p>
            <w:pPr>
              <w:spacing w:after="0"/>
              <w:rPr>
                <w:sz w:val="1"/>
                <w:szCs w:val="1"/>
                <w:color w:val="auto"/>
              </w:rPr>
            </w:pPr>
          </w:p>
        </w:tc>
      </w:tr>
      <w:tr>
        <w:trPr>
          <w:trHeight w:val="77"/>
        </w:trPr>
        <w:tc>
          <w:tcPr>
            <w:tcW w:w="3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Expenses and other income: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269,106</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Administrative expenses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66,723</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32,283</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37,678</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on foreign exchange</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Merger and acquisition expenses</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3,760</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income, net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w:t>
            </w:r>
          </w:p>
        </w:tc>
        <w:tc>
          <w:tcPr>
            <w:tcW w:w="0" w:type="dxa"/>
            <w:vAlign w:val="bottom"/>
          </w:tcPr>
          <w:p>
            <w:pPr>
              <w:spacing w:after="0"/>
              <w:rPr>
                <w:sz w:val="1"/>
                <w:szCs w:val="1"/>
                <w:color w:val="auto"/>
              </w:rPr>
            </w:pPr>
          </w:p>
        </w:tc>
      </w:tr>
      <w:tr>
        <w:trPr>
          <w:trHeight w:val="207"/>
        </w:trPr>
        <w:tc>
          <w:tcPr>
            <w:tcW w:w="37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Total expenses and other income</w:t>
            </w: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151,836</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88,909</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22,039</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22,586</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121,506</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406,876</w:t>
            </w:r>
          </w:p>
        </w:tc>
        <w:tc>
          <w:tcPr>
            <w:tcW w:w="0" w:type="dxa"/>
            <w:vAlign w:val="bottom"/>
          </w:tcPr>
          <w:p>
            <w:pPr>
              <w:spacing w:after="0"/>
              <w:rPr>
                <w:sz w:val="1"/>
                <w:szCs w:val="1"/>
                <w:color w:val="auto"/>
              </w:rPr>
            </w:pPr>
          </w:p>
        </w:tc>
      </w:tr>
      <w:tr>
        <w:trPr>
          <w:trHeight w:val="77"/>
        </w:trPr>
        <w:tc>
          <w:tcPr>
            <w:tcW w:w="37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133,288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64,572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29,200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33,159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(121,552)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138,667</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9"/>
          </w:tcPr>
          <w:p>
            <w:pPr>
              <w:jc w:val="right"/>
              <w:ind w:right="19"/>
              <w:spacing w:after="0"/>
              <w:rPr>
                <w:sz w:val="20"/>
                <w:szCs w:val="20"/>
                <w:color w:val="auto"/>
              </w:rPr>
            </w:pPr>
            <w:r>
              <w:rPr>
                <w:rFonts w:ascii="Times New Roman" w:cs="Times New Roman" w:eastAsia="Times New Roman" w:hAnsi="Times New Roman"/>
                <w:sz w:val="16"/>
                <w:szCs w:val="16"/>
                <w:color w:val="auto"/>
              </w:rPr>
              <w:t>Three Months Ended September 30, 2025</w:t>
            </w: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color w:val="auto"/>
              </w:rPr>
              <w:t>U.S.</w:t>
            </w:r>
          </w:p>
        </w:tc>
        <w:tc>
          <w:tcPr>
            <w:tcW w:w="200" w:type="dxa"/>
            <w:vAlign w:val="bottom"/>
          </w:tcPr>
          <w:p>
            <w:pPr>
              <w:spacing w:after="0"/>
              <w:rPr>
                <w:sz w:val="13"/>
                <w:szCs w:val="13"/>
                <w:color w:val="auto"/>
              </w:rPr>
            </w:pPr>
          </w:p>
        </w:tc>
        <w:tc>
          <w:tcPr>
            <w:tcW w:w="920" w:type="dxa"/>
            <w:vAlign w:val="bottom"/>
          </w:tcPr>
          <w:p>
            <w:pPr>
              <w:jc w:val="center"/>
              <w:ind w:right="99"/>
              <w:spacing w:after="0" w:line="158" w:lineRule="exact"/>
              <w:rPr>
                <w:sz w:val="20"/>
                <w:szCs w:val="20"/>
                <w:color w:val="auto"/>
              </w:rPr>
            </w:pPr>
            <w:r>
              <w:rPr>
                <w:rFonts w:ascii="Times New Roman" w:cs="Times New Roman" w:eastAsia="Times New Roman" w:hAnsi="Times New Roman"/>
                <w:sz w:val="16"/>
                <w:szCs w:val="16"/>
                <w:color w:val="auto"/>
              </w:rPr>
              <w:t>Latin</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6"/>
                <w:szCs w:val="16"/>
                <w:color w:val="auto"/>
              </w:rPr>
              <w:t>U.K.</w:t>
            </w:r>
          </w:p>
        </w:tc>
        <w:tc>
          <w:tcPr>
            <w:tcW w:w="160" w:type="dxa"/>
            <w:vAlign w:val="bottom"/>
          </w:tcPr>
          <w:p>
            <w:pPr>
              <w:spacing w:after="0"/>
              <w:rPr>
                <w:sz w:val="13"/>
                <w:szCs w:val="13"/>
                <w:color w:val="auto"/>
              </w:rPr>
            </w:pPr>
          </w:p>
        </w:tc>
        <w:tc>
          <w:tcPr>
            <w:tcW w:w="11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color w:val="auto"/>
              </w:rPr>
              <w:t>Retail POS</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color w:val="auto"/>
              </w:rPr>
              <w:t>Corporate/</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color w:val="auto"/>
              </w:rPr>
              <w:t>America</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color w:val="auto"/>
                <w:w w:val="99"/>
              </w:rPr>
              <w:t>Payment</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color w:val="auto"/>
              </w:rPr>
              <w:t>Intersegment</w:t>
            </w:r>
          </w:p>
        </w:tc>
        <w:tc>
          <w:tcPr>
            <w:tcW w:w="140" w:type="dxa"/>
            <w:vAlign w:val="bottom"/>
          </w:tcPr>
          <w:p>
            <w:pPr>
              <w:spacing w:after="0"/>
              <w:rPr>
                <w:sz w:val="14"/>
                <w:szCs w:val="14"/>
                <w:color w:val="auto"/>
              </w:rPr>
            </w:pPr>
          </w:p>
        </w:tc>
        <w:tc>
          <w:tcPr>
            <w:tcW w:w="10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Consolidated</w:t>
            </w:r>
          </w:p>
        </w:tc>
        <w:tc>
          <w:tcPr>
            <w:tcW w:w="0" w:type="dxa"/>
            <w:vAlign w:val="bottom"/>
          </w:tcPr>
          <w:p>
            <w:pPr>
              <w:spacing w:after="0"/>
              <w:rPr>
                <w:sz w:val="1"/>
                <w:szCs w:val="1"/>
                <w:color w:val="auto"/>
              </w:rPr>
            </w:pPr>
          </w:p>
        </w:tc>
      </w:tr>
      <w:tr>
        <w:trPr>
          <w:trHeight w:val="213"/>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rPr>
              <w:t>Pawn</w:t>
            </w:r>
          </w:p>
        </w:tc>
        <w:tc>
          <w:tcPr>
            <w:tcW w:w="200" w:type="dxa"/>
            <w:vAlign w:val="bottom"/>
          </w:tcPr>
          <w:p>
            <w:pPr>
              <w:spacing w:after="0"/>
              <w:rPr>
                <w:sz w:val="18"/>
                <w:szCs w:val="18"/>
                <w:color w:val="auto"/>
              </w:rPr>
            </w:pPr>
          </w:p>
        </w:tc>
        <w:tc>
          <w:tcPr>
            <w:tcW w:w="9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Pawn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rPr>
              <w:t>Pawn</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Solutions</w:t>
            </w: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Eliminations</w:t>
            </w: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Retail merchandise sales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252,963</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144,644</w:t>
            </w: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410,968</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Pawn loan fees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67,199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221,088</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Leased merchandise income</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132,540</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and fees on retail finance products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81,683</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Wholesale scrap jewelry sales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17,831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86,710</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revenue</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w:t>
            </w:r>
          </w:p>
        </w:tc>
        <w:tc>
          <w:tcPr>
            <w:tcW w:w="0" w:type="dxa"/>
            <w:vAlign w:val="bottom"/>
          </w:tcPr>
          <w:p>
            <w:pPr>
              <w:spacing w:after="0"/>
              <w:rPr>
                <w:sz w:val="1"/>
                <w:szCs w:val="1"/>
                <w:color w:val="auto"/>
              </w:rPr>
            </w:pPr>
          </w:p>
        </w:tc>
      </w:tr>
      <w:tr>
        <w:trPr>
          <w:trHeight w:val="207"/>
        </w:trPr>
        <w:tc>
          <w:tcPr>
            <w:tcW w:w="37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Total revenue</w:t>
            </w: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437,437</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229,674</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54,950</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214,223</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935,579</w:t>
            </w:r>
          </w:p>
        </w:tc>
        <w:tc>
          <w:tcPr>
            <w:tcW w:w="0" w:type="dxa"/>
            <w:vAlign w:val="bottom"/>
          </w:tcPr>
          <w:p>
            <w:pPr>
              <w:spacing w:after="0"/>
              <w:rPr>
                <w:sz w:val="1"/>
                <w:szCs w:val="1"/>
                <w:color w:val="auto"/>
              </w:rPr>
            </w:pPr>
          </w:p>
        </w:tc>
      </w:tr>
      <w:tr>
        <w:trPr>
          <w:trHeight w:val="77"/>
        </w:trPr>
        <w:tc>
          <w:tcPr>
            <w:tcW w:w="37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retail merchandise sold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92,931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248,723</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of leased merchandise</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76,028</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lease losses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27,920</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 for loan losses</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40,347</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wholesale scrap jewelry sold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68,220</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cost of revenue</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cost of revenue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183,931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107,931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26,089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144,605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461,872</w:t>
            </w:r>
          </w:p>
        </w:tc>
        <w:tc>
          <w:tcPr>
            <w:tcW w:w="0" w:type="dxa"/>
            <w:vAlign w:val="bottom"/>
          </w:tcPr>
          <w:p>
            <w:pPr>
              <w:spacing w:after="0"/>
              <w:rPr>
                <w:sz w:val="1"/>
                <w:szCs w:val="1"/>
                <w:color w:val="auto"/>
              </w:rPr>
            </w:pPr>
          </w:p>
        </w:tc>
      </w:tr>
      <w:tr>
        <w:trPr>
          <w:trHeight w:val="77"/>
        </w:trPr>
        <w:tc>
          <w:tcPr>
            <w:tcW w:w="3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253,506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121,743</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69,618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473,707</w:t>
            </w:r>
          </w:p>
        </w:tc>
        <w:tc>
          <w:tcPr>
            <w:tcW w:w="0" w:type="dxa"/>
            <w:vAlign w:val="bottom"/>
          </w:tcPr>
          <w:p>
            <w:pPr>
              <w:spacing w:after="0"/>
              <w:rPr>
                <w:sz w:val="1"/>
                <w:szCs w:val="1"/>
                <w:color w:val="auto"/>
              </w:rPr>
            </w:pPr>
          </w:p>
        </w:tc>
      </w:tr>
      <w:tr>
        <w:trPr>
          <w:trHeight w:val="77"/>
        </w:trPr>
        <w:tc>
          <w:tcPr>
            <w:tcW w:w="3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Expenses and other income: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70,327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236,528</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Administrative expenses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58,845</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29,034</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32,216</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on foreign exchange</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Merger and acquisition expenses</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9,472</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income, net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(3,740)</w:t>
            </w:r>
          </w:p>
        </w:tc>
        <w:tc>
          <w:tcPr>
            <w:tcW w:w="0" w:type="dxa"/>
            <w:vAlign w:val="bottom"/>
          </w:tcPr>
          <w:p>
            <w:pPr>
              <w:spacing w:after="0"/>
              <w:rPr>
                <w:sz w:val="1"/>
                <w:szCs w:val="1"/>
                <w:color w:val="auto"/>
              </w:rPr>
            </w:pPr>
          </w:p>
        </w:tc>
      </w:tr>
      <w:tr>
        <w:trPr>
          <w:trHeight w:val="207"/>
        </w:trPr>
        <w:tc>
          <w:tcPr>
            <w:tcW w:w="37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Total expenses and other income</w:t>
            </w: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141,488</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74,770</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10,967</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23,639</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110,364</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361,228</w:t>
            </w:r>
          </w:p>
        </w:tc>
        <w:tc>
          <w:tcPr>
            <w:tcW w:w="0" w:type="dxa"/>
            <w:vAlign w:val="bottom"/>
          </w:tcPr>
          <w:p>
            <w:pPr>
              <w:spacing w:after="0"/>
              <w:rPr>
                <w:sz w:val="1"/>
                <w:szCs w:val="1"/>
                <w:color w:val="auto"/>
              </w:rPr>
            </w:pPr>
          </w:p>
        </w:tc>
      </w:tr>
      <w:tr>
        <w:trPr>
          <w:trHeight w:val="77"/>
        </w:trPr>
        <w:tc>
          <w:tcPr>
            <w:tcW w:w="37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112,018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46,973</w:t>
            </w: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45,979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(110,385)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112,479</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As of September 30, 2026</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gridSpan w:val="2"/>
          </w:tcPr>
          <w:p>
            <w:pPr>
              <w:jc w:val="right"/>
              <w:ind w:right="900"/>
              <w:spacing w:after="0" w:line="158" w:lineRule="exact"/>
              <w:rPr>
                <w:sz w:val="20"/>
                <w:szCs w:val="20"/>
                <w:color w:val="auto"/>
              </w:rPr>
            </w:pPr>
            <w:r>
              <w:rPr>
                <w:rFonts w:ascii="Times New Roman" w:cs="Times New Roman" w:eastAsia="Times New Roman" w:hAnsi="Times New Roman"/>
                <w:sz w:val="16"/>
                <w:szCs w:val="16"/>
                <w:color w:val="auto"/>
              </w:rPr>
              <w:t>U.S.</w:t>
            </w:r>
          </w:p>
        </w:tc>
        <w:tc>
          <w:tcPr>
            <w:tcW w:w="180" w:type="dxa"/>
            <w:vAlign w:val="bottom"/>
          </w:tcPr>
          <w:p>
            <w:pPr>
              <w:spacing w:after="0"/>
              <w:rPr>
                <w:sz w:val="13"/>
                <w:szCs w:val="13"/>
                <w:color w:val="auto"/>
              </w:rPr>
            </w:pPr>
          </w:p>
        </w:tc>
        <w:tc>
          <w:tcPr>
            <w:tcW w:w="136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color w:val="auto"/>
              </w:rPr>
              <w:t>Latin America</w:t>
            </w:r>
          </w:p>
        </w:tc>
        <w:tc>
          <w:tcPr>
            <w:tcW w:w="320" w:type="dxa"/>
            <w:vAlign w:val="bottom"/>
          </w:tcPr>
          <w:p>
            <w:pPr>
              <w:spacing w:after="0"/>
              <w:rPr>
                <w:sz w:val="13"/>
                <w:szCs w:val="13"/>
                <w:color w:val="auto"/>
              </w:rPr>
            </w:pPr>
          </w:p>
        </w:tc>
        <w:tc>
          <w:tcPr>
            <w:tcW w:w="1220" w:type="dxa"/>
            <w:vAlign w:val="bottom"/>
            <w:gridSpan w:val="2"/>
          </w:tcPr>
          <w:p>
            <w:pPr>
              <w:jc w:val="center"/>
              <w:ind w:right="420"/>
              <w:spacing w:after="0" w:line="158" w:lineRule="exact"/>
              <w:rPr>
                <w:sz w:val="20"/>
                <w:szCs w:val="20"/>
                <w:color w:val="auto"/>
              </w:rPr>
            </w:pPr>
            <w:r>
              <w:rPr>
                <w:rFonts w:ascii="Times New Roman" w:cs="Times New Roman" w:eastAsia="Times New Roman" w:hAnsi="Times New Roman"/>
                <w:sz w:val="16"/>
                <w:szCs w:val="16"/>
                <w:color w:val="auto"/>
              </w:rPr>
              <w:t>U.K.</w:t>
            </w:r>
          </w:p>
        </w:tc>
        <w:tc>
          <w:tcPr>
            <w:tcW w:w="320" w:type="dxa"/>
            <w:vAlign w:val="bottom"/>
          </w:tcPr>
          <w:p>
            <w:pPr>
              <w:spacing w:after="0"/>
              <w:rPr>
                <w:sz w:val="13"/>
                <w:szCs w:val="13"/>
                <w:color w:val="auto"/>
              </w:rPr>
            </w:pPr>
          </w:p>
        </w:tc>
        <w:tc>
          <w:tcPr>
            <w:tcW w:w="1120" w:type="dxa"/>
            <w:vAlign w:val="bottom"/>
          </w:tcPr>
          <w:p>
            <w:pPr>
              <w:jc w:val="right"/>
              <w:ind w:right="459"/>
              <w:spacing w:after="0" w:line="158" w:lineRule="exact"/>
              <w:rPr>
                <w:sz w:val="20"/>
                <w:szCs w:val="20"/>
                <w:color w:val="auto"/>
              </w:rPr>
            </w:pPr>
            <w:r>
              <w:rPr>
                <w:rFonts w:ascii="Times New Roman" w:cs="Times New Roman" w:eastAsia="Times New Roman" w:hAnsi="Times New Roman"/>
                <w:sz w:val="16"/>
                <w:szCs w:val="16"/>
                <w:color w:val="auto"/>
              </w:rPr>
              <w:t>Total</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880"/>
              <w:spacing w:after="0"/>
              <w:rPr>
                <w:sz w:val="20"/>
                <w:szCs w:val="20"/>
                <w:color w:val="auto"/>
              </w:rPr>
            </w:pPr>
            <w:r>
              <w:rPr>
                <w:rFonts w:ascii="Times New Roman" w:cs="Times New Roman" w:eastAsia="Times New Roman" w:hAnsi="Times New Roman"/>
                <w:sz w:val="16"/>
                <w:szCs w:val="16"/>
                <w:color w:val="auto"/>
              </w:rPr>
              <w:t>Pawn</w:t>
            </w: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Pawn</w:t>
            </w:r>
          </w:p>
        </w:tc>
        <w:tc>
          <w:tcPr>
            <w:tcW w:w="32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rPr>
              <w:t>Pawn</w:t>
            </w:r>
          </w:p>
        </w:tc>
        <w:tc>
          <w:tcPr>
            <w:tcW w:w="320" w:type="dxa"/>
            <w:vAlign w:val="bottom"/>
          </w:tcPr>
          <w:p>
            <w:pPr>
              <w:spacing w:after="0"/>
              <w:rPr>
                <w:sz w:val="18"/>
                <w:szCs w:val="18"/>
                <w:color w:val="auto"/>
              </w:rPr>
            </w:pPr>
          </w:p>
        </w:tc>
        <w:tc>
          <w:tcPr>
            <w:tcW w:w="1480" w:type="dxa"/>
            <w:vAlign w:val="bottom"/>
            <w:gridSpan w:val="2"/>
          </w:tcPr>
          <w:p>
            <w:pPr>
              <w:jc w:val="right"/>
              <w:ind w:right="900"/>
              <w:spacing w:after="0"/>
              <w:rPr>
                <w:sz w:val="20"/>
                <w:szCs w:val="20"/>
                <w:color w:val="auto"/>
              </w:rPr>
            </w:pPr>
            <w:r>
              <w:rPr>
                <w:rFonts w:ascii="Times New Roman" w:cs="Times New Roman" w:eastAsia="Times New Roman" w:hAnsi="Times New Roman"/>
                <w:sz w:val="16"/>
                <w:szCs w:val="16"/>
                <w:color w:val="auto"/>
              </w:rPr>
              <w:t>Pawn</w:t>
            </w:r>
          </w:p>
        </w:tc>
        <w:tc>
          <w:tcPr>
            <w:tcW w:w="0" w:type="dxa"/>
            <w:vAlign w:val="bottom"/>
          </w:tcPr>
          <w:p>
            <w:pPr>
              <w:spacing w:after="0"/>
              <w:rPr>
                <w:sz w:val="1"/>
                <w:szCs w:val="1"/>
                <w:color w:val="auto"/>
              </w:rPr>
            </w:pPr>
          </w:p>
        </w:tc>
      </w:tr>
      <w:tr>
        <w:trPr>
          <w:trHeight w:val="199"/>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 assets:</w:t>
            </w: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Pawn loans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487,245</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205,484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214,941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907,670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336,233</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155,690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106,628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598,551</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823,478</w:t>
            </w:r>
          </w:p>
        </w:tc>
        <w:tc>
          <w:tcPr>
            <w:tcW w:w="3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361,174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321,569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1,506,221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
        </w:trPr>
        <w:tc>
          <w:tcPr>
            <w:tcW w:w="46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outstanding pawn loan amount (in ones)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319</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905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46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Composition of pawn collateral:</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Jewelry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General merchandise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3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6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3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3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
        </w:trPr>
        <w:tc>
          <w:tcPr>
            <w:tcW w:w="4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Composition of inventories: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Jewelry</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merchandise</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
        </w:trPr>
        <w:tc>
          <w:tcPr>
            <w:tcW w:w="46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inventory aged greater than one year</w:t>
            </w:r>
          </w:p>
        </w:tc>
        <w:tc>
          <w:tcPr>
            <w:tcW w:w="320" w:type="dxa"/>
            <w:vAlign w:val="bottom"/>
          </w:tcPr>
          <w:p>
            <w:pPr>
              <w:spacing w:after="0"/>
              <w:rPr>
                <w:sz w:val="18"/>
                <w:szCs w:val="18"/>
                <w:color w:val="auto"/>
              </w:rPr>
            </w:pPr>
          </w:p>
        </w:tc>
        <w:tc>
          <w:tcPr>
            <w:tcW w:w="1440" w:type="dxa"/>
            <w:vAlign w:val="bottom"/>
            <w:gridSpan w:val="2"/>
          </w:tcPr>
          <w:p>
            <w:pPr>
              <w:jc w:val="right"/>
              <w:ind w:right="160"/>
              <w:spacing w:after="0" w:line="216" w:lineRule="exact"/>
              <w:rPr>
                <w:sz w:val="20"/>
                <w:szCs w:val="20"/>
                <w:color w:val="auto"/>
              </w:rPr>
            </w:pPr>
            <w:r>
              <w:rPr>
                <w:rFonts w:ascii="Times New Roman" w:cs="Times New Roman" w:eastAsia="Times New Roman" w:hAnsi="Times New Roman"/>
                <w:sz w:val="15"/>
                <w:szCs w:val="15"/>
                <w:color w:val="auto"/>
              </w:rPr>
              <w:t xml:space="preserve">2.9 % </w:t>
            </w:r>
            <w:r>
              <w:rPr>
                <w:rFonts w:ascii="Times New Roman" w:cs="Times New Roman" w:eastAsia="Times New Roman" w:hAnsi="Times New Roman"/>
                <w:sz w:val="25"/>
                <w:szCs w:val="25"/>
                <w:color w:val="auto"/>
                <w:vertAlign w:val="superscript"/>
              </w:rPr>
              <w:t>(1)</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160"/>
              <w:spacing w:after="0" w:line="216" w:lineRule="exact"/>
              <w:rPr>
                <w:sz w:val="20"/>
                <w:szCs w:val="20"/>
                <w:color w:val="auto"/>
              </w:rPr>
            </w:pPr>
            <w:r>
              <w:rPr>
                <w:rFonts w:ascii="Times New Roman" w:cs="Times New Roman" w:eastAsia="Times New Roman" w:hAnsi="Times New Roman"/>
                <w:sz w:val="15"/>
                <w:szCs w:val="15"/>
                <w:color w:val="auto"/>
              </w:rPr>
              <w:t xml:space="preserve">4.0 % </w:t>
            </w:r>
            <w:r>
              <w:rPr>
                <w:rFonts w:ascii="Times New Roman" w:cs="Times New Roman" w:eastAsia="Times New Roman" w:hAnsi="Times New Roman"/>
                <w:sz w:val="25"/>
                <w:szCs w:val="25"/>
                <w:color w:val="auto"/>
                <w:vertAlign w:val="superscript"/>
              </w:rPr>
              <w:t>(1)</w:t>
            </w:r>
          </w:p>
        </w:tc>
        <w:tc>
          <w:tcPr>
            <w:tcW w:w="0" w:type="dxa"/>
            <w:vAlign w:val="bottom"/>
          </w:tcPr>
          <w:p>
            <w:pPr>
              <w:spacing w:after="0"/>
              <w:rPr>
                <w:sz w:val="1"/>
                <w:szCs w:val="1"/>
                <w:color w:val="auto"/>
              </w:rPr>
            </w:pPr>
          </w:p>
        </w:tc>
      </w:tr>
      <w:tr>
        <w:trPr>
          <w:trHeight w:val="94"/>
        </w:trPr>
        <w:tc>
          <w:tcPr>
            <w:tcW w:w="46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6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Inventory turns (trailing twelve months cost of merchandise sales</w:t>
            </w:r>
          </w:p>
        </w:tc>
        <w:tc>
          <w:tcPr>
            <w:tcW w:w="320" w:type="dxa"/>
            <w:vAlign w:val="bottom"/>
          </w:tcPr>
          <w:p>
            <w:pPr>
              <w:spacing w:after="0"/>
              <w:rPr>
                <w:sz w:val="14"/>
                <w:szCs w:val="14"/>
                <w:color w:val="auto"/>
              </w:rPr>
            </w:pPr>
          </w:p>
        </w:tc>
        <w:tc>
          <w:tcPr>
            <w:tcW w:w="14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6"/>
                <w:szCs w:val="16"/>
                <w:color w:val="auto"/>
              </w:rPr>
              <w:t>2.8 times</w:t>
            </w:r>
          </w:p>
        </w:tc>
        <w:tc>
          <w:tcPr>
            <w:tcW w:w="180" w:type="dxa"/>
            <w:vAlign w:val="bottom"/>
          </w:tcPr>
          <w:p>
            <w:pPr>
              <w:spacing w:after="0"/>
              <w:rPr>
                <w:sz w:val="14"/>
                <w:szCs w:val="14"/>
                <w:color w:val="auto"/>
              </w:rPr>
            </w:pPr>
          </w:p>
        </w:tc>
        <w:tc>
          <w:tcPr>
            <w:tcW w:w="13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color w:val="auto"/>
              </w:rPr>
              <w:t>3.9 times</w:t>
            </w:r>
          </w:p>
        </w:tc>
        <w:tc>
          <w:tcPr>
            <w:tcW w:w="320" w:type="dxa"/>
            <w:vAlign w:val="bottom"/>
          </w:tcPr>
          <w:p>
            <w:pPr>
              <w:spacing w:after="0"/>
              <w:rPr>
                <w:sz w:val="14"/>
                <w:szCs w:val="14"/>
                <w:color w:val="auto"/>
              </w:rPr>
            </w:pPr>
          </w:p>
        </w:tc>
        <w:tc>
          <w:tcPr>
            <w:tcW w:w="12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2.0 times</w:t>
            </w:r>
          </w:p>
        </w:tc>
        <w:tc>
          <w:tcPr>
            <w:tcW w:w="320" w:type="dxa"/>
            <w:vAlign w:val="bottom"/>
          </w:tcPr>
          <w:p>
            <w:pPr>
              <w:spacing w:after="0"/>
              <w:rPr>
                <w:sz w:val="14"/>
                <w:szCs w:val="14"/>
                <w:color w:val="auto"/>
              </w:rPr>
            </w:pPr>
          </w:p>
        </w:tc>
        <w:tc>
          <w:tcPr>
            <w:tcW w:w="14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6"/>
                <w:szCs w:val="16"/>
                <w:color w:val="auto"/>
              </w:rPr>
              <w:t>3.0 times</w:t>
            </w:r>
          </w:p>
        </w:tc>
        <w:tc>
          <w:tcPr>
            <w:tcW w:w="0" w:type="dxa"/>
            <w:vAlign w:val="bottom"/>
          </w:tcPr>
          <w:p>
            <w:pPr>
              <w:spacing w:after="0"/>
              <w:rPr>
                <w:sz w:val="1"/>
                <w:szCs w:val="1"/>
                <w:color w:val="auto"/>
              </w:rPr>
            </w:pPr>
          </w:p>
        </w:tc>
      </w:tr>
      <w:tr>
        <w:trPr>
          <w:trHeight w:val="213"/>
        </w:trPr>
        <w:tc>
          <w:tcPr>
            <w:tcW w:w="4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divided by average inventories)</w:t>
            </w:r>
          </w:p>
        </w:tc>
        <w:tc>
          <w:tcPr>
            <w:tcW w:w="32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46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Store count</w:t>
            </w: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1,215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3,352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6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Weighted-average store count for the three months ended</w:t>
            </w: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1,212</w:t>
            </w: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1,838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3,347</w:t>
            </w:r>
          </w:p>
        </w:tc>
        <w:tc>
          <w:tcPr>
            <w:tcW w:w="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September 30</w:t>
            </w:r>
          </w:p>
        </w:tc>
        <w:tc>
          <w:tcPr>
            <w:tcW w:w="3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6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Weighted-average store count for the nine months ended</w:t>
            </w:r>
          </w:p>
        </w:tc>
        <w:tc>
          <w:tcPr>
            <w:tcW w:w="320" w:type="dxa"/>
            <w:vAlign w:val="bottom"/>
          </w:tcPr>
          <w:p>
            <w:pPr>
              <w:spacing w:after="0"/>
              <w:rPr>
                <w:sz w:val="14"/>
                <w:szCs w:val="14"/>
                <w:color w:val="auto"/>
              </w:rPr>
            </w:pPr>
          </w:p>
        </w:tc>
        <w:tc>
          <w:tcPr>
            <w:tcW w:w="11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1,209</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1,838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3,340</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September 30</w:t>
            </w: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ind w:left="340" w:hanging="332"/>
        <w:spacing w:after="0" w:line="225" w:lineRule="auto"/>
        <w:tabs>
          <w:tab w:leader="none" w:pos="399"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Percentage of inventory aged greater than one year is 1.6% for U.S. pawn and 3.3% for total pawn excluding certain recently acquired U.S. stores which have historically carried significantly higher levels of aged jewelry inventory.</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6"/>
                <w:szCs w:val="16"/>
                <w:color w:val="auto"/>
              </w:rPr>
              <w:t>As of September 30, 2025</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gridSpan w:val="2"/>
          </w:tcPr>
          <w:p>
            <w:pPr>
              <w:jc w:val="center"/>
              <w:ind w:right="420"/>
              <w:spacing w:after="0" w:line="158" w:lineRule="exact"/>
              <w:rPr>
                <w:sz w:val="20"/>
                <w:szCs w:val="20"/>
                <w:color w:val="auto"/>
              </w:rPr>
            </w:pPr>
            <w:r>
              <w:rPr>
                <w:rFonts w:ascii="Times New Roman" w:cs="Times New Roman" w:eastAsia="Times New Roman" w:hAnsi="Times New Roman"/>
                <w:sz w:val="16"/>
                <w:szCs w:val="16"/>
                <w:color w:val="auto"/>
                <w:w w:val="98"/>
              </w:rPr>
              <w:t>U.S.</w:t>
            </w:r>
          </w:p>
        </w:tc>
        <w:tc>
          <w:tcPr>
            <w:tcW w:w="160" w:type="dxa"/>
            <w:vAlign w:val="bottom"/>
          </w:tcPr>
          <w:p>
            <w:pPr>
              <w:spacing w:after="0"/>
              <w:rPr>
                <w:sz w:val="13"/>
                <w:szCs w:val="13"/>
                <w:color w:val="auto"/>
              </w:rPr>
            </w:pPr>
          </w:p>
        </w:tc>
        <w:tc>
          <w:tcPr>
            <w:tcW w:w="138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color w:val="auto"/>
              </w:rPr>
              <w:t>Latin America</w:t>
            </w:r>
          </w:p>
        </w:tc>
        <w:tc>
          <w:tcPr>
            <w:tcW w:w="320" w:type="dxa"/>
            <w:vAlign w:val="bottom"/>
          </w:tcPr>
          <w:p>
            <w:pPr>
              <w:spacing w:after="0"/>
              <w:rPr>
                <w:sz w:val="13"/>
                <w:szCs w:val="13"/>
                <w:color w:val="auto"/>
              </w:rPr>
            </w:pPr>
          </w:p>
        </w:tc>
        <w:tc>
          <w:tcPr>
            <w:tcW w:w="1220" w:type="dxa"/>
            <w:vAlign w:val="bottom"/>
            <w:gridSpan w:val="2"/>
          </w:tcPr>
          <w:p>
            <w:pPr>
              <w:jc w:val="center"/>
              <w:ind w:right="440"/>
              <w:spacing w:after="0" w:line="158" w:lineRule="exact"/>
              <w:rPr>
                <w:sz w:val="20"/>
                <w:szCs w:val="20"/>
                <w:color w:val="auto"/>
              </w:rPr>
            </w:pPr>
            <w:r>
              <w:rPr>
                <w:rFonts w:ascii="Times New Roman" w:cs="Times New Roman" w:eastAsia="Times New Roman" w:hAnsi="Times New Roman"/>
                <w:sz w:val="16"/>
                <w:szCs w:val="16"/>
                <w:color w:val="auto"/>
                <w:w w:val="96"/>
              </w:rPr>
              <w:t>U.K.</w:t>
            </w:r>
          </w:p>
        </w:tc>
        <w:tc>
          <w:tcPr>
            <w:tcW w:w="320" w:type="dxa"/>
            <w:vAlign w:val="bottom"/>
          </w:tcPr>
          <w:p>
            <w:pPr>
              <w:spacing w:after="0"/>
              <w:rPr>
                <w:sz w:val="13"/>
                <w:szCs w:val="13"/>
                <w:color w:val="auto"/>
              </w:rPr>
            </w:pPr>
          </w:p>
        </w:tc>
        <w:tc>
          <w:tcPr>
            <w:tcW w:w="1120" w:type="dxa"/>
            <w:vAlign w:val="bottom"/>
          </w:tcPr>
          <w:p>
            <w:pPr>
              <w:jc w:val="right"/>
              <w:ind w:right="479"/>
              <w:spacing w:after="0" w:line="158" w:lineRule="exact"/>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3"/>
        </w:trPr>
        <w:tc>
          <w:tcPr>
            <w:tcW w:w="5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rPr>
              <w:t>Pawn</w:t>
            </w: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Pawn</w:t>
            </w:r>
          </w:p>
        </w:tc>
        <w:tc>
          <w:tcPr>
            <w:tcW w:w="32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rPr>
              <w:t>Pawn</w:t>
            </w:r>
          </w:p>
        </w:tc>
        <w:tc>
          <w:tcPr>
            <w:tcW w:w="32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Pawn</w:t>
            </w:r>
          </w:p>
        </w:tc>
        <w:tc>
          <w:tcPr>
            <w:tcW w:w="0" w:type="dxa"/>
            <w:vAlign w:val="bottom"/>
          </w:tcPr>
          <w:p>
            <w:pPr>
              <w:spacing w:after="0"/>
              <w:rPr>
                <w:sz w:val="1"/>
                <w:szCs w:val="1"/>
                <w:color w:val="auto"/>
              </w:rPr>
            </w:pPr>
          </w:p>
        </w:tc>
      </w:tr>
      <w:tr>
        <w:trPr>
          <w:trHeight w:val="199"/>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 assets:</w:t>
            </w: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Pawn loans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426,288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173,203</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188,639</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788,130</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266,452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124,081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65,740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456,273</w:t>
            </w:r>
          </w:p>
        </w:tc>
        <w:tc>
          <w:tcPr>
            <w:tcW w:w="0" w:type="dxa"/>
            <w:vAlign w:val="bottom"/>
          </w:tcPr>
          <w:p>
            <w:pPr>
              <w:spacing w:after="0"/>
              <w:rPr>
                <w:sz w:val="1"/>
                <w:szCs w:val="1"/>
                <w:color w:val="auto"/>
              </w:rPr>
            </w:pPr>
          </w:p>
        </w:tc>
      </w:tr>
      <w:tr>
        <w:trPr>
          <w:trHeight w:val="209"/>
        </w:trPr>
        <w:tc>
          <w:tcPr>
            <w:tcW w:w="51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692,740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297,284</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254,379</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1,244,403</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
        </w:trPr>
        <w:tc>
          <w:tcPr>
            <w:tcW w:w="51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outstanding pawn loan amount (in ones)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768</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97"/>
        </w:trPr>
        <w:tc>
          <w:tcPr>
            <w:tcW w:w="51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Composition of pawn collateral:</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Jewelry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0" w:type="dxa"/>
            <w:vAlign w:val="bottom"/>
          </w:tcPr>
          <w:p>
            <w:pPr>
              <w:spacing w:after="0"/>
              <w:rPr>
                <w:sz w:val="1"/>
                <w:szCs w:val="1"/>
                <w:color w:val="auto"/>
              </w:rPr>
            </w:pPr>
          </w:p>
        </w:tc>
      </w:tr>
      <w:tr>
        <w:trPr>
          <w:trHeight w:val="213"/>
        </w:trPr>
        <w:tc>
          <w:tcPr>
            <w:tcW w:w="5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General merchandise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0" w:type="dxa"/>
            <w:vAlign w:val="bottom"/>
          </w:tcPr>
          <w:p>
            <w:pPr>
              <w:spacing w:after="0"/>
              <w:rPr>
                <w:sz w:val="1"/>
                <w:szCs w:val="1"/>
                <w:color w:val="auto"/>
              </w:rPr>
            </w:pPr>
          </w:p>
        </w:tc>
      </w:tr>
      <w:tr>
        <w:trPr>
          <w:trHeight w:val="234"/>
        </w:trPr>
        <w:tc>
          <w:tcPr>
            <w:tcW w:w="51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
        </w:trPr>
        <w:tc>
          <w:tcPr>
            <w:tcW w:w="5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Composition of inventories: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Jewelry</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merchandise</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0" w:type="dxa"/>
            <w:vAlign w:val="bottom"/>
          </w:tcPr>
          <w:p>
            <w:pPr>
              <w:spacing w:after="0"/>
              <w:rPr>
                <w:sz w:val="1"/>
                <w:szCs w:val="1"/>
                <w:color w:val="auto"/>
              </w:rPr>
            </w:pPr>
          </w:p>
        </w:tc>
      </w:tr>
      <w:tr>
        <w:trPr>
          <w:trHeight w:val="209"/>
        </w:trPr>
        <w:tc>
          <w:tcPr>
            <w:tcW w:w="5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
        </w:trPr>
        <w:tc>
          <w:tcPr>
            <w:tcW w:w="51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inventory aged greater than one year</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0" w:type="dxa"/>
            <w:vAlign w:val="bottom"/>
          </w:tcPr>
          <w:p>
            <w:pPr>
              <w:spacing w:after="0"/>
              <w:rPr>
                <w:sz w:val="1"/>
                <w:szCs w:val="1"/>
                <w:color w:val="auto"/>
              </w:rPr>
            </w:pPr>
          </w:p>
        </w:tc>
      </w:tr>
      <w:tr>
        <w:trPr>
          <w:trHeight w:val="97"/>
        </w:trPr>
        <w:tc>
          <w:tcPr>
            <w:tcW w:w="51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51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Inventory turns (trailing twelve months cost of merchandise sales divided by</w:t>
            </w:r>
          </w:p>
        </w:tc>
        <w:tc>
          <w:tcPr>
            <w:tcW w:w="320" w:type="dxa"/>
            <w:vAlign w:val="bottom"/>
          </w:tcPr>
          <w:p>
            <w:pPr>
              <w:spacing w:after="0"/>
              <w:rPr>
                <w:sz w:val="14"/>
                <w:szCs w:val="14"/>
                <w:color w:val="auto"/>
              </w:rPr>
            </w:pPr>
          </w:p>
        </w:tc>
        <w:tc>
          <w:tcPr>
            <w:tcW w:w="12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2.8 times</w:t>
            </w:r>
          </w:p>
        </w:tc>
        <w:tc>
          <w:tcPr>
            <w:tcW w:w="160" w:type="dxa"/>
            <w:vAlign w:val="bottom"/>
          </w:tcPr>
          <w:p>
            <w:pPr>
              <w:spacing w:after="0"/>
              <w:rPr>
                <w:sz w:val="14"/>
                <w:szCs w:val="14"/>
                <w:color w:val="auto"/>
              </w:rPr>
            </w:pPr>
          </w:p>
        </w:tc>
        <w:tc>
          <w:tcPr>
            <w:tcW w:w="13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3.9 times</w:t>
            </w:r>
          </w:p>
        </w:tc>
        <w:tc>
          <w:tcPr>
            <w:tcW w:w="320" w:type="dxa"/>
            <w:vAlign w:val="bottom"/>
          </w:tcPr>
          <w:p>
            <w:pPr>
              <w:spacing w:after="0"/>
              <w:rPr>
                <w:sz w:val="14"/>
                <w:szCs w:val="14"/>
                <w:color w:val="auto"/>
              </w:rPr>
            </w:pPr>
          </w:p>
        </w:tc>
        <w:tc>
          <w:tcPr>
            <w:tcW w:w="12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2.6 times</w:t>
            </w:r>
          </w:p>
        </w:tc>
        <w:tc>
          <w:tcPr>
            <w:tcW w:w="3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 times</w:t>
            </w:r>
          </w:p>
        </w:tc>
        <w:tc>
          <w:tcPr>
            <w:tcW w:w="0" w:type="dxa"/>
            <w:vAlign w:val="bottom"/>
          </w:tcPr>
          <w:p>
            <w:pPr>
              <w:spacing w:after="0"/>
              <w:rPr>
                <w:sz w:val="1"/>
                <w:szCs w:val="1"/>
                <w:color w:val="auto"/>
              </w:rPr>
            </w:pPr>
          </w:p>
        </w:tc>
      </w:tr>
      <w:tr>
        <w:trPr>
          <w:trHeight w:val="213"/>
        </w:trPr>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average inventories)</w:t>
            </w:r>
          </w:p>
        </w:tc>
        <w:tc>
          <w:tcPr>
            <w:tcW w:w="3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51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Store count</w:t>
            </w: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1,832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3,311</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store count for the three months ended September 30</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3,216</w:t>
            </w:r>
          </w:p>
        </w:tc>
        <w:tc>
          <w:tcPr>
            <w:tcW w:w="0" w:type="dxa"/>
            <w:vAlign w:val="bottom"/>
          </w:tcPr>
          <w:p>
            <w:pPr>
              <w:spacing w:after="0"/>
              <w:rPr>
                <w:sz w:val="1"/>
                <w:szCs w:val="1"/>
                <w:color w:val="auto"/>
              </w:rPr>
            </w:pPr>
          </w:p>
        </w:tc>
      </w:tr>
      <w:tr>
        <w:trPr>
          <w:trHeight w:val="210"/>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store count for the nine months ended September 30</w:t>
            </w: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1,829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3,089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62" w:right="3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type w:val="continuous"/>
        </w:sectPr>
      </w:pPr>
    </w:p>
    <w:bookmarkStart w:id="35" w:name="page36"/>
    <w:bookmarkEnd w:id="35"/>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 Pawn Segment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Merchandise Sales Operations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retail merchandise sales increased 10% to $278.9 million during the third quarter of 2026 compared to $253.0 million for the third quarter of 2025. Same-store retail sales increased 7% in the third quarter of 2026 compared to the third quarter of 2025. The increase in total and same-store retail sales was primarily due to continued strong demand for value priced merchandise and increased inventory levels during the third quarter of 2026 compared to the third quarter of 2025. The gross profit margin on retail merchandise sales in the U.S. was 42% during the third quarter of 2026 compared to 43% during the third quarter of 2025.</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 wholesale scrap jewelry revenue, consisting primarily of gold sales, increased 75% to $79.8 million during the third quarter of 2026 compared to $45.6 million during the third quarter of 2025. The scrap gross profit margin in the U.S. was 15% compared to the prior-year margin of 16%. The increase in wholesale scrap jewelry revenue was primarily due to increases in pawn lending activity over the past several quarters, which created more forfeited collateral to scrap, and the increase in gold prices over the past year.</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inventories increased 26% to $336.2 million as of September 30, 2026 compared to $266.5 million as of September 30, 2025. The increase was primarily due to increases in pawn lending activity over the past several quarters, which created more forfeited inventory available for sale, partially offset by an increase in forfeited collateral that was scrapped. Inventories aged greater than one year in the U.S. were 2.9% at September 30, 2026 compared to 1.9% at September 30, 2025. Excluding certain recently acquired U.S. stores which have historically carried significantly higher levels of aged jewelry inventory, aged inventories greater than one year were 1.6% at September 30, 2026.</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Pawn Lending Operations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 pawn loan receivables increased 14% to $487.2 million as of September 30, 2026 compared to $426.3 million as of September 30, 2025. On a same-store basis, pawn loan receivables increased 12% as of September 30, 2026 compared to September 30, 2025. The Company believes the increase in same-store pawn receivables was primarily due to continued strong customer demand from a combination of more customer transactions and an increase in the average loan amount requested by customers.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 pawn loan fees increased 12% to $155.9 million during the third quarter of 2026 compared to $138.9 million for the third quarter of 2025. Same-store pawn loan fees increased 11% in the third quarter of 2026 compared to the third quarter of 2025. The increase in total and same-store pawn loan fees was due to the higher pawn receivable balances.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Expenses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 operating expenses increased 7% to $142.4 million during the third quarter of 2026 compared to $133.0 million during the third quarter of 2025 while same-store operating expenses increased 5% compared with the prior-year period. The increase in operating expenses was primarily due to increased labor and variable compensation expenses.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Pre-Tax Operating Income</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 segment pre-tax operating income for the third quarter of 2026 was $133.3 million, which generated a pre-tax segment operating margin of 26% compared to $112.0 million and 26% in the prior year, respectively. The increase in the segment pre-tax operating income reflected increased net revenue, partially offset by an increase in segment expenses.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Latin America Pawn Segment</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Latin America segment pre-tax operating income for the three months ended September 30, 2026 compared to the three months ended September 30, 2025 benefited from an 8% favorable change in the average value of the Mexican peso compared to the U.S. dollar. The translated value of Latin America segment earning assets as of September 30, 2026 compared to September 30, 2025 also benefited from a 3% favorable change in the end-of-period value of the Mexican peso compared to the U.S. dollar. Constant currency results are non-GAAP financial measures, which exclude the effects of foreign currency translation and are calculated by translating current-year results at prior-year average exchange rates. See the “Constant Currency Results” section in “Non-GAAP Financial Information” below for additional discussion of constant currency operating results.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6" w:name="page37"/>
    <w:bookmarkEnd w:id="36"/>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Merchandise Sales Operations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Latin America retail merchandise sales increased 24% (16% on a constant currency basis) to $179.9 million during the third quarter of 2026 compared to $144.6 million for the third quarter of 2025. Same-store retail sales increased 25% (16% on a constant currency basis) during the third quarter of 2026 compared to the third quarter of 2025. The increase in constant currency total and same-store retail sales was primarily due to strong demand for value priced merchandise and increased inventory levels during the third quarter of 2026 compared to the third quarter of 2025. The gross profit margin on retail merchandise sales was 35% during the third quarter of 2026 compared to 36% during the third quarter of 2025.</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Latin America wholesale scrap jewelry revenue, consisting primarily of gold sales, increased 167% to $47.7 million during the third quarter of 2026 compared to $17.8 million during the third quarter of 2025. The scrap gross profit margin in Latin America was 16% for both the third quarter of 2026 and 2025. The increase in wholesale scrap jewelry revenue was primarily due to increases in pawn lending activity over the past several quarters, which created more forfeited collateral to scrap, and the increase in gold prices over the past year.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Latin America inventories increased 25% (22% on a constant currency basis) to $155.7 million at September 30, 2026 compared to $124.1 million at September 30, 2025. The increase in constant currency inventories was primarily due to increased pawn lending activity over the past several quarters, creating more forfeited inventory and a slightly increased mix of higher value jewelry inventory, partially offset by an increase in forfeited collateral that was scrapped. Inventories aged greater than one year in Latin America were 1.3% at September 30, 2026 compared to 1.4% at September 30,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Pawn Lending Operations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Latin America pawn loan receivables increased 19% (15% on a constant currency basis) to $205.5 million as of September 30, 2026 compared to $173.2 million as of September 30, 2025. On a same-store basis, pawn loan receivables also increased 19% (15% on a constant currency basis) as of September 30, 2026 compared to September 30, 2025. The increase in constant currency total and same-store pawn receivables is primarily due to the increased number of pawn loans and larger average loan sizes, driven in part by an increased mix of higher value jewelry loans.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Latin America pawn loan fees increased 24% (15% on a constant currency basis), totaling $83.1 million during the third quarter of 2026 compared to $67.2 million for the third quarter of 2025. Same-store pawn fees also increased 24% (15% on a constant currency basis) in the third quarter of 2026 compared to the third quarter of 2025. The constant currency increase in total and same-store pawn loan fees was primarily due to increased constant currency pawn receivables.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Expenses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increased 20% (12% on a constant currency basis) to $84.3 million during the third quarter of 2026 compared to $70.3 million during the third quarter of 2025. Same-store operating expenses also increased 20% (11% on a constant currency basis) compared to the prior-year period. The constant currency increase in total and same-store operating expenses was primarily driven by general inflationary impacts and continued increases in the federally mandated minimum wages and benefits.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Pre-Tax Operating Income</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segment pre-tax operating income for the third quarter of 2026 was $64.6 million, which generated a pre-tax segment operating margin of 21% compared to $47.0 million and 20% in the prior year, respectively. The increase in the segment pre-tax operating income reflected increased net revenue, partially offset by an increase in segment expenses.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7" w:name="page38"/>
    <w:bookmarkEnd w:id="37"/>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U.K. Pawn Segment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14, 2025, the Company completed the H&amp;T Acquisition. The results of operations of the U.K. pawn segment for the three months ended September 30, 2026 includes H&amp;T’s results of operations for three full months while the comparable prior-year period includes H&amp;T’s results of operations for the period August 14, 2025 to September 30, 2025 (“H&amp;T PY Partial Period”), affecting comparability.</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U.K. segment pre-tax operating income for the three months ended September 30, 2026 compared to the three months ended September 30, 2025 was impacted by a 1% unfavorable change in the average value of the U.S. dollar compared to the British pound sterling. The translated value of U.K. earning assets as of September 30, 2026 compared to September 30, 2025 was also impacted by a 1% unfavorable change in the end-of-period U.S. dollar compared to the British pound sterling. Constant currency results are non-GAAP financial measures, which exclude the effects of foreign currency translation and are calculated by translating current-year results at prior-year average exchange rates. See the “Constant Currency Results” section in “Non-GAAP Financial Information” below for additional discussion of constant currency operating results.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Merchandise Sales Operations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U.K. retail merchandise sales increased 60% (61% on a constant currency basis) to $22.5 million during the third quarter of 2026 compared to $14.1 million for the third quarter of 2025. The increase was primarily due to the H&amp;T PY Partial Period. The gross profit margin on retail merchandise sales was 33% during the third quarter of 2026 compared to 24% during the third quarter of 2025. The increase in the retail gross margin was primarily due to increased gold prices compared to a year ago.</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U.K. wholesale scrap jewelry revenue, consisting primarily of gold sales, increased 94% to $45.0 million during the third quarter of 2026 compared to $23.3 million during the third quarter of 2025. The increase was primarily due to the H&amp;T PY Partial Period. The scrap gross profit margin in the U.K. was 27% for the third quarter of 2026 and 37% for the third quarter of 2025. The decrease in the scrap gross margin was primarily due to the increased cost of inventories acquired through forfeiture or purchase over the past several quarters consistent with gold prices over that period.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U.K. inventories increased 62% (64% on a constant currency basis) to $106.6 million at September 30, 2026 compared to $65.7 million at September 30, 2025. The increase in inventories was primarily due to increased jewelry counts held per store and increased cost of inventories acquired through forfeiture or purchase over the past several quarters, consistent with gold prices over that period. Inventories aged greater than one year in the U.K. were 11.6% at September 30, 2026 compared to 7.9% at September 30,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Pawn Lending Operations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U.K. pawn loan receivables increased 14% (15% on a constant currency basis) to $214.9 million as of September 30, 2026 compared to $188.6 million as of September 30, 2025. On a same-store basis, pawn loan receivables increased 13% (14% on a constant currency basis) as of September 30, 2026 compared to September 30, 2025. The Company believes the increase in pawn loan receivables was primarily due to continued strong customer demand from a combination of more customer transactions and an increase in the average loan amount requested by customers.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U.K. pawn loan fees increased 88% (89% on a constant currency basis), totaling $28.2 million during the third quarter of 2026 compared to $15.0 million for the third quarter of 2025. The increase was primarily due to the H&amp;T PY Partial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Expenses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expenses increased 101% (also 101% on a constant currency basis) to $20.5 million during the third quarter of 2026 compared to $10.2 million during the third quarter of 2025. The increase was primarily due to the H&amp;T PY Partial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Pre-Tax Operating Income</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segment pre-tax operating income for the third quarter of 2026 was $29.2 million, which generated a pre-tax segment operating margin of 29% compared to $17.9 million and 33% in the prior year, respectively. The increase in the segment pre-tax operating income was primarily due to the H&amp;T PY Partial Period.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8" w:name="page39"/>
    <w:bookmarkEnd w:id="38"/>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Retail POS Payment Solutions Segment</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details retail POS payment solutions gross transaction volumes originated during the three months ended September 30, 2026 as compared to the three months ended September 30, 2025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40" w:type="dxa"/>
            <w:vAlign w:val="bottom"/>
            <w:gridSpan w:val="4"/>
          </w:tcPr>
          <w:p>
            <w:pPr>
              <w:jc w:val="right"/>
              <w:ind w:right="719"/>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19"/>
        </w:trPr>
        <w:tc>
          <w:tcPr>
            <w:tcW w:w="8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September 30,</w:t>
            </w:r>
          </w:p>
        </w:tc>
        <w:tc>
          <w:tcPr>
            <w:tcW w:w="940" w:type="dxa"/>
            <w:vAlign w:val="bottom"/>
            <w:tcBorders>
              <w:bottom w:val="single" w:sz="8" w:color="auto"/>
            </w:tcBorders>
          </w:tcPr>
          <w:p>
            <w:pPr>
              <w:spacing w:after="0"/>
              <w:rPr>
                <w:sz w:val="19"/>
                <w:szCs w:val="19"/>
                <w:color w:val="auto"/>
              </w:rPr>
            </w:pPr>
          </w:p>
        </w:tc>
      </w:tr>
      <w:tr>
        <w:trPr>
          <w:trHeight w:val="211"/>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2025</w:t>
            </w:r>
          </w:p>
        </w:tc>
      </w:tr>
      <w:tr>
        <w:trPr>
          <w:trHeight w:val="21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merchandise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72,233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104,772</w:t>
            </w:r>
          </w:p>
        </w:tc>
      </w:tr>
      <w:tr>
        <w:trPr>
          <w:trHeight w:val="216"/>
        </w:trPr>
        <w:tc>
          <w:tcPr>
            <w:tcW w:w="826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Finance receivables </w:t>
            </w:r>
            <w:r>
              <w:rPr>
                <w:rFonts w:ascii="Times New Roman" w:cs="Times New Roman" w:eastAsia="Times New Roman" w:hAnsi="Times New Roman"/>
                <w:sz w:val="21"/>
                <w:szCs w:val="21"/>
                <w:color w:val="auto"/>
                <w:vertAlign w:val="superscript"/>
              </w:rPr>
              <w:t>(1)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140,243</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144,012</w:t>
            </w:r>
          </w:p>
        </w:tc>
      </w:tr>
      <w:tr>
        <w:trPr>
          <w:trHeight w:val="234"/>
        </w:trPr>
        <w:tc>
          <w:tcPr>
            <w:tcW w:w="8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gross transaction volume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212,476</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248,784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300" w:hanging="292"/>
        <w:spacing w:after="0"/>
        <w:tabs>
          <w:tab w:leader="none" w:pos="30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three months ended September 30, 2026 and 2025, includes $22.9 million and $10.4 million of OBS Loans, respectively.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retail POS payment solutions earning assets as of September 30, 2026 as compared to September 30, 2025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739"/>
              <w:spacing w:after="0"/>
              <w:rPr>
                <w:sz w:val="20"/>
                <w:szCs w:val="20"/>
                <w:color w:val="auto"/>
              </w:rPr>
            </w:pPr>
            <w:r>
              <w:rPr>
                <w:rFonts w:ascii="Times New Roman" w:cs="Times New Roman" w:eastAsia="Times New Roman" w:hAnsi="Times New Roman"/>
                <w:sz w:val="16"/>
                <w:szCs w:val="16"/>
                <w:color w:val="auto"/>
              </w:rPr>
              <w:t>As of September 30,</w:t>
            </w:r>
          </w:p>
        </w:tc>
      </w:tr>
      <w:tr>
        <w:trPr>
          <w:trHeight w:val="211"/>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2025</w:t>
            </w:r>
          </w:p>
        </w:tc>
      </w:tr>
      <w:tr>
        <w:trPr>
          <w:trHeight w:val="19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merchandise, net: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4"/>
        </w:trPr>
        <w:tc>
          <w:tcPr>
            <w:tcW w:w="8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Leased merchandise, before allowance for lease losses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122,807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164,215</w:t>
            </w:r>
          </w:p>
        </w:tc>
      </w:tr>
      <w:tr>
        <w:trPr>
          <w:trHeight w:val="216"/>
        </w:trPr>
        <w:tc>
          <w:tcPr>
            <w:tcW w:w="8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Less allowance for lease losses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(48,046)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(64,306)</w:t>
            </w:r>
          </w:p>
        </w:tc>
      </w:tr>
      <w:tr>
        <w:trPr>
          <w:trHeight w:val="211"/>
        </w:trPr>
        <w:tc>
          <w:tcPr>
            <w:tcW w:w="8260" w:type="dxa"/>
            <w:vAlign w:val="bottom"/>
          </w:tcPr>
          <w:p>
            <w:pPr>
              <w:ind w:left="180"/>
              <w:spacing w:after="0" w:line="212" w:lineRule="exact"/>
              <w:rPr>
                <w:sz w:val="20"/>
                <w:szCs w:val="20"/>
                <w:color w:val="auto"/>
              </w:rPr>
            </w:pPr>
            <w:r>
              <w:rPr>
                <w:rFonts w:ascii="Times New Roman" w:cs="Times New Roman" w:eastAsia="Times New Roman" w:hAnsi="Times New Roman"/>
                <w:sz w:val="16"/>
                <w:szCs w:val="16"/>
                <w:color w:val="auto"/>
              </w:rPr>
              <w:t xml:space="preserve">Leased merchandise, net </w:t>
            </w:r>
            <w:r>
              <w:rPr>
                <w:rFonts w:ascii="Times New Roman" w:cs="Times New Roman" w:eastAsia="Times New Roman" w:hAnsi="Times New Roman"/>
                <w:sz w:val="21"/>
                <w:szCs w:val="21"/>
                <w:color w:val="auto"/>
                <w:vertAlign w:val="superscript"/>
              </w:rPr>
              <w:t>(1)</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74,761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99,909</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8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receivables, net:</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60" w:type="dxa"/>
            <w:vAlign w:val="bottom"/>
            <w:shd w:val="clear" w:color="auto" w:fill="CCEEFF"/>
          </w:tcPr>
          <w:p>
            <w:pPr>
              <w:ind w:left="180"/>
              <w:spacing w:after="0" w:line="219" w:lineRule="exact"/>
              <w:rPr>
                <w:sz w:val="20"/>
                <w:szCs w:val="20"/>
                <w:color w:val="auto"/>
              </w:rPr>
            </w:pPr>
            <w:r>
              <w:rPr>
                <w:rFonts w:ascii="Times New Roman" w:cs="Times New Roman" w:eastAsia="Times New Roman" w:hAnsi="Times New Roman"/>
                <w:sz w:val="16"/>
                <w:szCs w:val="16"/>
                <w:color w:val="auto"/>
              </w:rPr>
              <w:t xml:space="preserve">Finance receivables, before allowance for loan losses </w:t>
            </w:r>
            <w:r>
              <w:rPr>
                <w:rFonts w:ascii="Times New Roman" w:cs="Times New Roman" w:eastAsia="Times New Roman" w:hAnsi="Times New Roman"/>
                <w:sz w:val="21"/>
                <w:szCs w:val="21"/>
                <w:color w:val="auto"/>
                <w:vertAlign w:val="superscript"/>
              </w:rPr>
              <w:t>(2)</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222,946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268,855</w:t>
            </w:r>
          </w:p>
        </w:tc>
      </w:tr>
      <w:tr>
        <w:trPr>
          <w:trHeight w:val="214"/>
        </w:trPr>
        <w:tc>
          <w:tcPr>
            <w:tcW w:w="82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Less allowance for loan losses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(98,831)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(115,721)</w:t>
            </w:r>
          </w:p>
        </w:tc>
      </w:tr>
      <w:tr>
        <w:trPr>
          <w:trHeight w:val="236"/>
        </w:trPr>
        <w:tc>
          <w:tcPr>
            <w:tcW w:w="8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Finance receivables, net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124,115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153,134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ind w:left="340" w:hanging="332"/>
        <w:spacing w:after="0" w:line="225" w:lineRule="auto"/>
        <w:tabs>
          <w:tab w:leader="none" w:pos="32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$0.1 million and $0.2 million of intersegment transactions as of September 30, 2026 and 2025, respectively, related to the Company offering AFF’s LTO payment solution in its U.S. pawn stores that are eliminated upon consolidation.</w:t>
      </w:r>
    </w:p>
    <w:p>
      <w:pPr>
        <w:spacing w:after="0" w:line="222" w:lineRule="exact"/>
        <w:rPr>
          <w:rFonts w:ascii="Times New Roman" w:cs="Times New Roman" w:eastAsia="Times New Roman" w:hAnsi="Times New Roman"/>
          <w:sz w:val="21"/>
          <w:szCs w:val="21"/>
          <w:color w:val="auto"/>
          <w:vertAlign w:val="superscript"/>
        </w:rPr>
      </w:pPr>
    </w:p>
    <w:p>
      <w:pPr>
        <w:jc w:val="both"/>
        <w:ind w:left="340" w:hanging="332"/>
        <w:spacing w:after="0" w:line="237" w:lineRule="auto"/>
        <w:tabs>
          <w:tab w:leader="none" w:pos="32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Does not include $45.5 million and $9.7 million of outstanding OBS Loans held by AFF’s bank partner as of September 30, 2026 and 2025, respectively. Combined finance receivables, before allowance for loan losses, and OBS Loans totaled $268.4 million and $278.5 million as of September 30, 2026 and 2025, respectively. See the “OBS Loans” section in Note 9 of Notes to Consolidated Financial Statements.</w:t>
      </w:r>
    </w:p>
    <w:p>
      <w:pPr>
        <w:spacing w:after="0" w:line="23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details certain retail POS payment solutions portfolio metrics for the three months ended September 30, 2026 as compared to the three months ended September 30, 2025:</w:t>
      </w:r>
    </w:p>
    <w:p>
      <w:pPr>
        <w:spacing w:after="0" w:line="234"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6"/>
          <w:szCs w:val="16"/>
          <w:color w:val="auto"/>
        </w:rPr>
        <w:t>Three Months Ended</w:t>
      </w:r>
    </w:p>
    <w:p>
      <w:pPr>
        <w:spacing w:after="0" w:line="32"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6"/>
          <w:szCs w:val="16"/>
          <w:color w:val="auto"/>
        </w:rPr>
        <w:t>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8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2025</w:t>
            </w:r>
          </w:p>
        </w:tc>
      </w:tr>
      <w:tr>
        <w:trPr>
          <w:trHeight w:val="19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merchandise portfolio metrics:</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16"/>
        </w:trPr>
        <w:tc>
          <w:tcPr>
            <w:tcW w:w="900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Provision rate </w:t>
            </w:r>
            <w:r>
              <w:rPr>
                <w:rFonts w:ascii="Times New Roman" w:cs="Times New Roman" w:eastAsia="Times New Roman" w:hAnsi="Times New Roman"/>
                <w:sz w:val="21"/>
                <w:szCs w:val="21"/>
                <w:color w:val="auto"/>
                <w:vertAlign w:val="superscript"/>
              </w:rPr>
              <w:t>(1)</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23.6 %</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26.7 %</w:t>
            </w:r>
          </w:p>
        </w:tc>
      </w:tr>
      <w:tr>
        <w:trPr>
          <w:trHeight w:val="216"/>
        </w:trPr>
        <w:tc>
          <w:tcPr>
            <w:tcW w:w="900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Average monthly net charge-off rate </w:t>
            </w:r>
            <w:r>
              <w:rPr>
                <w:rFonts w:ascii="Times New Roman" w:cs="Times New Roman" w:eastAsia="Times New Roman" w:hAnsi="Times New Roman"/>
                <w:sz w:val="21"/>
                <w:szCs w:val="21"/>
                <w:color w:val="auto"/>
                <w:vertAlign w:val="superscript"/>
              </w:rPr>
              <w:t>(2)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6.6 %</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6.7 %</w:t>
            </w:r>
          </w:p>
        </w:tc>
      </w:tr>
      <w:tr>
        <w:trPr>
          <w:trHeight w:val="216"/>
        </w:trPr>
        <w:tc>
          <w:tcPr>
            <w:tcW w:w="900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Delinquency rate </w:t>
            </w:r>
            <w:r>
              <w:rPr>
                <w:rFonts w:ascii="Times New Roman" w:cs="Times New Roman" w:eastAsia="Times New Roman" w:hAnsi="Times New Roman"/>
                <w:sz w:val="21"/>
                <w:szCs w:val="21"/>
                <w:color w:val="auto"/>
                <w:vertAlign w:val="superscript"/>
              </w:rPr>
              <w:t>(3)</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26.5 %</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25.5 %</w:t>
            </w:r>
          </w:p>
        </w:tc>
      </w:tr>
      <w:tr>
        <w:trPr>
          <w:trHeight w:val="95"/>
        </w:trPr>
        <w:tc>
          <w:tcPr>
            <w:tcW w:w="798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r>
      <w:tr>
        <w:trPr>
          <w:trHeight w:val="213"/>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Finance receivables portfolio metrics: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9000" w:type="dxa"/>
            <w:vAlign w:val="bottom"/>
            <w:gridSpan w:val="2"/>
            <w:shd w:val="clear" w:color="auto" w:fill="CCEEFF"/>
          </w:tcPr>
          <w:p>
            <w:pPr>
              <w:ind w:left="180"/>
              <w:spacing w:after="0" w:line="219" w:lineRule="exact"/>
              <w:rPr>
                <w:sz w:val="20"/>
                <w:szCs w:val="20"/>
                <w:color w:val="auto"/>
              </w:rPr>
            </w:pPr>
            <w:r>
              <w:rPr>
                <w:rFonts w:ascii="Times New Roman" w:cs="Times New Roman" w:eastAsia="Times New Roman" w:hAnsi="Times New Roman"/>
                <w:sz w:val="16"/>
                <w:szCs w:val="16"/>
                <w:color w:val="auto"/>
              </w:rPr>
              <w:t xml:space="preserve">Provision rate </w:t>
            </w:r>
            <w:r>
              <w:rPr>
                <w:rFonts w:ascii="Times New Roman" w:cs="Times New Roman" w:eastAsia="Times New Roman" w:hAnsi="Times New Roman"/>
                <w:sz w:val="21"/>
                <w:szCs w:val="21"/>
                <w:color w:val="auto"/>
                <w:vertAlign w:val="superscript"/>
              </w:rPr>
              <w:t>(1)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29.1 %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28.0 %</w:t>
            </w:r>
          </w:p>
        </w:tc>
      </w:tr>
      <w:tr>
        <w:trPr>
          <w:trHeight w:val="216"/>
        </w:trPr>
        <w:tc>
          <w:tcPr>
            <w:tcW w:w="900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Average monthly net charge-off rate </w:t>
            </w:r>
            <w:r>
              <w:rPr>
                <w:rFonts w:ascii="Times New Roman" w:cs="Times New Roman" w:eastAsia="Times New Roman" w:hAnsi="Times New Roman"/>
                <w:sz w:val="21"/>
                <w:szCs w:val="21"/>
                <w:color w:val="auto"/>
                <w:vertAlign w:val="superscript"/>
              </w:rPr>
              <w:t>(2)</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5.1 %</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5.2 %</w:t>
            </w:r>
          </w:p>
        </w:tc>
      </w:tr>
      <w:tr>
        <w:trPr>
          <w:trHeight w:val="216"/>
        </w:trPr>
        <w:tc>
          <w:tcPr>
            <w:tcW w:w="900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Delinquency rate </w:t>
            </w:r>
            <w:r>
              <w:rPr>
                <w:rFonts w:ascii="Times New Roman" w:cs="Times New Roman" w:eastAsia="Times New Roman" w:hAnsi="Times New Roman"/>
                <w:sz w:val="21"/>
                <w:szCs w:val="21"/>
                <w:color w:val="auto"/>
                <w:vertAlign w:val="superscript"/>
              </w:rPr>
              <w:t>(3)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22.8 %</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22.4 %</w:t>
            </w:r>
          </w:p>
        </w:tc>
      </w:tr>
    </w:tbl>
    <w:p>
      <w:pPr>
        <w:spacing w:after="0" w:line="279"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Calculated as provision for lease or loan losses as a percentage of the respective gross transaction volume originated.</w:t>
      </w:r>
    </w:p>
    <w:p>
      <w:pPr>
        <w:spacing w:after="0" w:line="204"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Calculated as charge-offs, net of recoveries, as a percentage of the respective average earning asset balance before allowance for lease or loan losses.</w:t>
      </w:r>
    </w:p>
    <w:p>
      <w:pPr>
        <w:sectPr>
          <w:pgSz w:w="11900" w:h="16838" w:orient="portrait"/>
          <w:cols w:equalWidth="0" w:num="1">
            <w:col w:w="11240"/>
          </w:cols>
          <w:pgMar w:left="320" w:top="162" w:right="339" w:bottom="1440" w:gutter="0" w:footer="0" w:header="0"/>
        </w:sect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type w:val="continuous"/>
        </w:sectPr>
      </w:pPr>
    </w:p>
    <w:bookmarkStart w:id="39" w:name="page40"/>
    <w:bookmarkEnd w:id="39"/>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left="340" w:hanging="332"/>
        <w:spacing w:after="0" w:line="225" w:lineRule="auto"/>
        <w:tabs>
          <w:tab w:leader="none" w:pos="328"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Calculated as the percentage of the respective contractual earning asset balance owed that is 1 to 89 days past due (the Company charges off leases and finance receivables when they are 90 days or more contractually past due).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LTO Operations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Leased merchandise, before allowance for lease losses, decreased 25% to $122.8 million as of September 30, 2026 compared to $164.2 million as of September 30, 2025. The decrease was primarily due to decreased gross transaction volumes as a result of continued weakness in the furniture industry.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allowance for lease losses decreased 25% to $48.0 million as of September 30, 2026 compared to $64.3 million as of September 30, 2025, which was primarily due to the decrease in leased merchandise balances outstanding. As a percentage of leased merchandise, the allowance was 39% at both September 30, 2026 and 2025.</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Leased merchandise income decreased 22% to $103.1 million during the third quarter of 2026 compared to $132.5 million during the third quarter of 2025, which was primarily due to lower average leased merchandise balances outstanding during the third quarter of 2026 compared to the third quarter of 2025.</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of leased merchandise decreased 17% to $63.3 million during the third quarter of 2026 compared to $76.3 million during the third quarter of 2025, primarily due to the decrease in leased merchandise balances outstanding, partially offset by increased early buyout activity resulting in an increase in accelerated depreciation during the third quarter of 2026 compared to the third quarter of 2025. As a percentage of leased merchandise income, depreciation of leased merchandise increased to 61% during the third quarter of 2026 from 58% during the third quarter of 2025.</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Provision for lease losses decreased 39% to $17.0 million during the third quarter of 2026 compared to $28.0 million during the third quarter of 2025, which was primarily due to the 31% decrease in gross transaction volumes and slightly lower lease loss provisioning rates used during the third quarter of 2026 compared to the third quarter of 2025. As a percentage of gross transaction volume, the provision for lease losses decreased to 24% during the third quarter of 2026 compared to 27% during the third quarter of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 Finance Operations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Finance receivables, before allowance for loan losses, decreased 17% as of September 30, 2026 compared to September 30, 2025. The decrease was primarily due to a shift in a number of finance receivable transaction volumes to OBS Loans, which are not included on the Company’s balance sheet. As of September 30, 2026, the outstanding amount of OBS Loans originated and held by the Company’s bank partner was $45.5 million. Including the OBS Loans, finance receivables, before allowance for loan losses would have decreased 4% as of September 30, 2026 compared to September 30, 2025, which was primarily due to the 3% decrease in gross transaction volume, which includes OBS Loans originated.</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allowance for loan losses decreased 15% to $98.8 million as of September 30, 2026 compared to $115.7 million as of September 30, 2025, which was primarily due to the decrease in finance receivables outstanding. As a percentage of finance receivables, the allowance was 44% at September 30, 2026 compared to 43% at September 30, 2025.</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and fees on retail finance products decreased 10% to $73.7 million during the third quarter of 2026 compared to $81.7 million during the third quarter of 2025. The decrease was primarily due to the decrease in combined finance receivable and OBS Loan balances outstanding and a slight decline in portfolio yield primarily as a result of AFF expanding its offerings and merchant relationships in certain services sector verticals over the past twelve months, some of which are provided at lower interest rates, during the third quarter of 2026 compared to the third quarter of 2025.</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Provision for loan losses increased 1% to $40.8 million during the third quarter of 2026 compared to $40.3 million during the third quarter of 2025, which was primarily due to slightly higher loan loss provisioning rates used during the third quarter of 2026 compared to the third quarter of 2025, partially offset by the 3% decrease in gross transaction volumes. As a percentage of gross transaction volume, the provision for loan losses increased to 29% during the third quarter of 2026 from 28% during the third quarter of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Expenses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decreased 5% to $21.8 million during the third quarter of 2026 compared to $23.0 million during the third quarter of 2025, which was primarily due to the decrease in gross transaction volumes. As a percentage of segment revenues, operating expenses increased to 12% during the third quarter of 2026 compared to 11% during the third quarter of 2025.</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0" w:name="page41"/>
    <w:bookmarkEnd w:id="40"/>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Pre-Tax Operating Income</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retail POS payment solutions segment pre-tax operating income for the third quarter of 2026 was $33.2 million compared to $46.0 million in the third quarter of 2025. The decrease was primarily the result of the decrease in segment net revenue.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Corporate Expenses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Administrative expenses increased 13% to $66.7 million during the third quarter of 2026 compared to $58.8 million in the third quarter of 2025, primarily due to a full quarter of administrative expenses of H&amp;T, increased variable compensation, general inflationary impacts and an 8% change in the average value of the Mexican peso resulting in higher U.S. dollar translated administrative expenses in Latin America. As a percentage of revenue, administrative expenses were 6% in both the third quarter of 2026 and 2025.</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increased 9% to $16.0 million during the third quarter of 2026 compared to $14.7 million in the third quarter of 2025, primarily due to a full quarter of depreciation and amortization expenses of H&amp;T during the third quarter of 2026.</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increased 17% to $37.7 million during the third quarter of 2026 compared to $32.2 million in the third quarter of 2025, primarily due to increased outstanding long-term debt balances. See Note 8 of Notes to Consolidated Financial Statements and “Liquidity and Capital Resources.”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Merger and acquisition expenses decreased 60% to $3.8 million during the third quarter of 2026 compared to $9.5 million in the third quarter of 2025, primarily due to significant one-time expenses incurred with the H&amp;T Acquisition during the third quarter of 2025.</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1" w:name="page42"/>
    <w:bookmarkEnd w:id="41"/>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 for the Nine Months Ended September 30, 2026 Compared to the Nine Months Ended September 30, 2025</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and related discussion set forth key operating and financial data for the Company’s operations by reporting segment for the nine months ended September 30, 2026 compared to the nine months ended September 30, 2025 (in thousands).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of the three pawn segments include salary and benefit expenses of store-level employees, occupancy costs, bank and other treasury fees, security, insurance, utilities, supplies and other costs incurred by the pawn stores. Operating expenses of the AFF segment include salary and benefit expenses of operations-focused departments, payment processing charges, data analytics and decisioning costs, information technology costs, advertising costs and other operational costs incurred by AFF.</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expenses and income, which include administrative expenses, corporate depreciation and amortization, interest expense, interest income, (gain) loss on foreign exchange, merger and acquisition expenses, and other income, net, are presented on a consolidated basis and are not allocated between the segments. Intersegment transactions related to AFF’s LTO payment solution product offered in U.S. pawn stores are eliminated from consolidated totals.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color w:val="auto"/>
              </w:rPr>
              <w:t>U.S.</w:t>
            </w:r>
          </w:p>
        </w:tc>
        <w:tc>
          <w:tcPr>
            <w:tcW w:w="200" w:type="dxa"/>
            <w:vAlign w:val="bottom"/>
          </w:tcPr>
          <w:p>
            <w:pPr>
              <w:spacing w:after="0"/>
              <w:rPr>
                <w:sz w:val="13"/>
                <w:szCs w:val="13"/>
                <w:color w:val="auto"/>
              </w:rPr>
            </w:pPr>
          </w:p>
        </w:tc>
        <w:tc>
          <w:tcPr>
            <w:tcW w:w="90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color w:val="auto"/>
              </w:rPr>
              <w:t>Latin</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6"/>
                <w:szCs w:val="16"/>
                <w:color w:val="auto"/>
              </w:rPr>
              <w:t>U.K.</w:t>
            </w:r>
          </w:p>
        </w:tc>
        <w:tc>
          <w:tcPr>
            <w:tcW w:w="160" w:type="dxa"/>
            <w:vAlign w:val="bottom"/>
          </w:tcPr>
          <w:p>
            <w:pPr>
              <w:spacing w:after="0"/>
              <w:rPr>
                <w:sz w:val="13"/>
                <w:szCs w:val="13"/>
                <w:color w:val="auto"/>
              </w:rPr>
            </w:pPr>
          </w:p>
        </w:tc>
        <w:tc>
          <w:tcPr>
            <w:tcW w:w="11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color w:val="auto"/>
              </w:rPr>
              <w:t>Retail POS</w:t>
            </w:r>
          </w:p>
        </w:tc>
        <w:tc>
          <w:tcPr>
            <w:tcW w:w="120" w:type="dxa"/>
            <w:vAlign w:val="bottom"/>
          </w:tcPr>
          <w:p>
            <w:pPr>
              <w:spacing w:after="0"/>
              <w:rPr>
                <w:sz w:val="13"/>
                <w:szCs w:val="13"/>
                <w:color w:val="auto"/>
              </w:rPr>
            </w:pPr>
          </w:p>
        </w:tc>
        <w:tc>
          <w:tcPr>
            <w:tcW w:w="11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color w:val="auto"/>
              </w:rPr>
              <w:t>Corporate/</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color w:val="auto"/>
              </w:rPr>
              <w:t>America</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color w:val="auto"/>
                <w:w w:val="99"/>
              </w:rPr>
              <w:t>Payment</w:t>
            </w:r>
          </w:p>
        </w:tc>
        <w:tc>
          <w:tcPr>
            <w:tcW w:w="120" w:type="dxa"/>
            <w:vAlign w:val="bottom"/>
          </w:tcPr>
          <w:p>
            <w:pPr>
              <w:spacing w:after="0"/>
              <w:rPr>
                <w:sz w:val="14"/>
                <w:szCs w:val="14"/>
                <w:color w:val="auto"/>
              </w:rPr>
            </w:pPr>
          </w:p>
        </w:tc>
        <w:tc>
          <w:tcPr>
            <w:tcW w:w="11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Intersegment</w:t>
            </w:r>
          </w:p>
        </w:tc>
        <w:tc>
          <w:tcPr>
            <w:tcW w:w="140" w:type="dxa"/>
            <w:vAlign w:val="bottom"/>
          </w:tcPr>
          <w:p>
            <w:pPr>
              <w:spacing w:after="0"/>
              <w:rPr>
                <w:sz w:val="14"/>
                <w:szCs w:val="14"/>
                <w:color w:val="auto"/>
              </w:rPr>
            </w:pPr>
          </w:p>
        </w:tc>
        <w:tc>
          <w:tcPr>
            <w:tcW w:w="10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Consolidated</w:t>
            </w:r>
          </w:p>
        </w:tc>
        <w:tc>
          <w:tcPr>
            <w:tcW w:w="0" w:type="dxa"/>
            <w:vAlign w:val="bottom"/>
          </w:tcPr>
          <w:p>
            <w:pPr>
              <w:spacing w:after="0"/>
              <w:rPr>
                <w:sz w:val="1"/>
                <w:szCs w:val="1"/>
                <w:color w:val="auto"/>
              </w:rPr>
            </w:pPr>
          </w:p>
        </w:tc>
      </w:tr>
      <w:tr>
        <w:trPr>
          <w:trHeight w:val="213"/>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rPr>
              <w:t>Pawn</w:t>
            </w:r>
          </w:p>
        </w:tc>
        <w:tc>
          <w:tcPr>
            <w:tcW w:w="200" w:type="dxa"/>
            <w:vAlign w:val="bottom"/>
          </w:tcPr>
          <w:p>
            <w:pPr>
              <w:spacing w:after="0"/>
              <w:rPr>
                <w:sz w:val="18"/>
                <w:szCs w:val="18"/>
                <w:color w:val="auto"/>
              </w:rPr>
            </w:pPr>
          </w:p>
        </w:tc>
        <w:tc>
          <w:tcPr>
            <w:tcW w:w="9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Pawn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rPr>
              <w:t>Pawn</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Solutions</w:t>
            </w: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Eliminations</w:t>
            </w: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Retail merchandise sales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838,442</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514,092</w:t>
            </w:r>
          </w:p>
        </w:tc>
        <w:tc>
          <w:tcPr>
            <w:tcW w:w="4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65,839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1,417,078</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Pawn loan fees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463,809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239,321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792,429</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Leased merchandise income</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348,743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348,743</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and fees on retail finance products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222,046</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Wholesale scrap jewelry sales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106,454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437,154</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revenue</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10,056</w:t>
            </w:r>
          </w:p>
        </w:tc>
        <w:tc>
          <w:tcPr>
            <w:tcW w:w="0" w:type="dxa"/>
            <w:vAlign w:val="bottom"/>
          </w:tcPr>
          <w:p>
            <w:pPr>
              <w:spacing w:after="0"/>
              <w:rPr>
                <w:sz w:val="1"/>
                <w:szCs w:val="1"/>
                <w:color w:val="auto"/>
              </w:rPr>
            </w:pPr>
          </w:p>
        </w:tc>
      </w:tr>
      <w:tr>
        <w:trPr>
          <w:trHeight w:val="207"/>
        </w:trPr>
        <w:tc>
          <w:tcPr>
            <w:tcW w:w="37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Total revenue</w:t>
            </w: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1,501,781</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859,867</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296,364</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570,789</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3,227,506</w:t>
            </w:r>
          </w:p>
        </w:tc>
        <w:tc>
          <w:tcPr>
            <w:tcW w:w="0" w:type="dxa"/>
            <w:vAlign w:val="bottom"/>
          </w:tcPr>
          <w:p>
            <w:pPr>
              <w:spacing w:after="0"/>
              <w:rPr>
                <w:sz w:val="1"/>
                <w:szCs w:val="1"/>
                <w:color w:val="auto"/>
              </w:rPr>
            </w:pPr>
          </w:p>
        </w:tc>
      </w:tr>
      <w:tr>
        <w:trPr>
          <w:trHeight w:val="77"/>
        </w:trPr>
        <w:tc>
          <w:tcPr>
            <w:tcW w:w="37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retail merchandise sold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477,416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335,170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857,942</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of leased merchandise</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216,309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215,822</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lease losses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71,204</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 for loan losses</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123,564</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wholesale scrap jewelry sold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89,691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335,955</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cost of revenue</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cost of revenue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642,047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424,861</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129,105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411,335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1,605,912</w:t>
            </w:r>
          </w:p>
        </w:tc>
        <w:tc>
          <w:tcPr>
            <w:tcW w:w="0" w:type="dxa"/>
            <w:vAlign w:val="bottom"/>
          </w:tcPr>
          <w:p>
            <w:pPr>
              <w:spacing w:after="0"/>
              <w:rPr>
                <w:sz w:val="1"/>
                <w:szCs w:val="1"/>
                <w:color w:val="auto"/>
              </w:rPr>
            </w:pPr>
          </w:p>
        </w:tc>
      </w:tr>
      <w:tr>
        <w:trPr>
          <w:trHeight w:val="77"/>
        </w:trPr>
        <w:tc>
          <w:tcPr>
            <w:tcW w:w="3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859,734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435,006</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167,259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159,454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1,621,594</w:t>
            </w:r>
          </w:p>
        </w:tc>
        <w:tc>
          <w:tcPr>
            <w:tcW w:w="0" w:type="dxa"/>
            <w:vAlign w:val="bottom"/>
          </w:tcPr>
          <w:p>
            <w:pPr>
              <w:spacing w:after="0"/>
              <w:rPr>
                <w:sz w:val="1"/>
                <w:szCs w:val="1"/>
                <w:color w:val="auto"/>
              </w:rPr>
            </w:pPr>
          </w:p>
        </w:tc>
      </w:tr>
      <w:tr>
        <w:trPr>
          <w:trHeight w:val="77"/>
        </w:trPr>
        <w:tc>
          <w:tcPr>
            <w:tcW w:w="3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Expenses and other income: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428,623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247,249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806,273</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Administrative expenses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199,326</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96,239</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107,908</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on foreign exchange</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Merger and acquisition expenses</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10,983</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income, net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(9,055)</w:t>
            </w:r>
          </w:p>
        </w:tc>
        <w:tc>
          <w:tcPr>
            <w:tcW w:w="0" w:type="dxa"/>
            <w:vAlign w:val="bottom"/>
          </w:tcPr>
          <w:p>
            <w:pPr>
              <w:spacing w:after="0"/>
              <w:rPr>
                <w:sz w:val="1"/>
                <w:szCs w:val="1"/>
                <w:color w:val="auto"/>
              </w:rPr>
            </w:pPr>
          </w:p>
        </w:tc>
      </w:tr>
      <w:tr>
        <w:trPr>
          <w:trHeight w:val="207"/>
        </w:trPr>
        <w:tc>
          <w:tcPr>
            <w:tcW w:w="37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Total expenses and other income</w:t>
            </w: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455,830</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261,404</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65,268</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71,638</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356,657</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1,210,797</w:t>
            </w:r>
          </w:p>
        </w:tc>
        <w:tc>
          <w:tcPr>
            <w:tcW w:w="0" w:type="dxa"/>
            <w:vAlign w:val="bottom"/>
          </w:tcPr>
          <w:p>
            <w:pPr>
              <w:spacing w:after="0"/>
              <w:rPr>
                <w:sz w:val="1"/>
                <w:szCs w:val="1"/>
                <w:color w:val="auto"/>
              </w:rPr>
            </w:pPr>
          </w:p>
        </w:tc>
      </w:tr>
      <w:tr>
        <w:trPr>
          <w:trHeight w:val="77"/>
        </w:trPr>
        <w:tc>
          <w:tcPr>
            <w:tcW w:w="37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403,904</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173,602</w:t>
            </w:r>
          </w:p>
        </w:tc>
        <w:tc>
          <w:tcPr>
            <w:tcW w:w="4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101,991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87,816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(356,516)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410,797</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2" w:name="page43"/>
    <w:bookmarkEnd w:id="42"/>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6"/>
                <w:szCs w:val="16"/>
                <w:color w:val="auto"/>
              </w:rPr>
              <w:t>Nine Months Ended September 30, 2025</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color w:val="auto"/>
              </w:rPr>
              <w:t>U.S.</w:t>
            </w:r>
          </w:p>
        </w:tc>
        <w:tc>
          <w:tcPr>
            <w:tcW w:w="200" w:type="dxa"/>
            <w:vAlign w:val="bottom"/>
          </w:tcPr>
          <w:p>
            <w:pPr>
              <w:spacing w:after="0"/>
              <w:rPr>
                <w:sz w:val="13"/>
                <w:szCs w:val="13"/>
                <w:color w:val="auto"/>
              </w:rPr>
            </w:pPr>
          </w:p>
        </w:tc>
        <w:tc>
          <w:tcPr>
            <w:tcW w:w="960" w:type="dxa"/>
            <w:vAlign w:val="bottom"/>
          </w:tcPr>
          <w:p>
            <w:pPr>
              <w:jc w:val="center"/>
              <w:ind w:right="139"/>
              <w:spacing w:after="0" w:line="158" w:lineRule="exact"/>
              <w:rPr>
                <w:sz w:val="20"/>
                <w:szCs w:val="20"/>
                <w:color w:val="auto"/>
              </w:rPr>
            </w:pPr>
            <w:r>
              <w:rPr>
                <w:rFonts w:ascii="Times New Roman" w:cs="Times New Roman" w:eastAsia="Times New Roman" w:hAnsi="Times New Roman"/>
                <w:sz w:val="16"/>
                <w:szCs w:val="16"/>
                <w:color w:val="auto"/>
              </w:rPr>
              <w:t>Latin</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6"/>
                <w:szCs w:val="16"/>
                <w:color w:val="auto"/>
              </w:rPr>
              <w:t>U.K.</w:t>
            </w:r>
          </w:p>
        </w:tc>
        <w:tc>
          <w:tcPr>
            <w:tcW w:w="160" w:type="dxa"/>
            <w:vAlign w:val="bottom"/>
          </w:tcPr>
          <w:p>
            <w:pPr>
              <w:spacing w:after="0"/>
              <w:rPr>
                <w:sz w:val="13"/>
                <w:szCs w:val="13"/>
                <w:color w:val="auto"/>
              </w:rPr>
            </w:pPr>
          </w:p>
        </w:tc>
        <w:tc>
          <w:tcPr>
            <w:tcW w:w="1120" w:type="dxa"/>
            <w:vAlign w:val="bottom"/>
            <w:gridSpan w:val="3"/>
          </w:tcPr>
          <w:p>
            <w:pPr>
              <w:jc w:val="center"/>
              <w:ind w:right="280"/>
              <w:spacing w:after="0" w:line="158" w:lineRule="exact"/>
              <w:rPr>
                <w:sz w:val="20"/>
                <w:szCs w:val="20"/>
                <w:color w:val="auto"/>
              </w:rPr>
            </w:pPr>
            <w:r>
              <w:rPr>
                <w:rFonts w:ascii="Times New Roman" w:cs="Times New Roman" w:eastAsia="Times New Roman" w:hAnsi="Times New Roman"/>
                <w:sz w:val="16"/>
                <w:szCs w:val="16"/>
                <w:color w:val="auto"/>
              </w:rPr>
              <w:t>Retail POS</w:t>
            </w:r>
          </w:p>
        </w:tc>
        <w:tc>
          <w:tcPr>
            <w:tcW w:w="100" w:type="dxa"/>
            <w:vAlign w:val="bottom"/>
          </w:tcPr>
          <w:p>
            <w:pPr>
              <w:spacing w:after="0"/>
              <w:rPr>
                <w:sz w:val="13"/>
                <w:szCs w:val="13"/>
                <w:color w:val="auto"/>
              </w:rPr>
            </w:pPr>
          </w:p>
        </w:tc>
        <w:tc>
          <w:tcPr>
            <w:tcW w:w="11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color w:val="auto"/>
              </w:rPr>
              <w:t>Corporate/</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color w:val="auto"/>
              </w:rPr>
              <w:t>America</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jc w:val="center"/>
              <w:ind w:right="280"/>
              <w:spacing w:after="0" w:line="162" w:lineRule="exact"/>
              <w:rPr>
                <w:sz w:val="20"/>
                <w:szCs w:val="20"/>
                <w:color w:val="auto"/>
              </w:rPr>
            </w:pPr>
            <w:r>
              <w:rPr>
                <w:rFonts w:ascii="Times New Roman" w:cs="Times New Roman" w:eastAsia="Times New Roman" w:hAnsi="Times New Roman"/>
                <w:sz w:val="16"/>
                <w:szCs w:val="16"/>
                <w:color w:val="auto"/>
                <w:w w:val="99"/>
              </w:rPr>
              <w:t>Payment</w:t>
            </w:r>
          </w:p>
        </w:tc>
        <w:tc>
          <w:tcPr>
            <w:tcW w:w="100" w:type="dxa"/>
            <w:vAlign w:val="bottom"/>
          </w:tcPr>
          <w:p>
            <w:pPr>
              <w:spacing w:after="0"/>
              <w:rPr>
                <w:sz w:val="14"/>
                <w:szCs w:val="14"/>
                <w:color w:val="auto"/>
              </w:rPr>
            </w:pPr>
          </w:p>
        </w:tc>
        <w:tc>
          <w:tcPr>
            <w:tcW w:w="11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Intersegment</w:t>
            </w:r>
          </w:p>
        </w:tc>
        <w:tc>
          <w:tcPr>
            <w:tcW w:w="140" w:type="dxa"/>
            <w:vAlign w:val="bottom"/>
          </w:tcPr>
          <w:p>
            <w:pPr>
              <w:spacing w:after="0"/>
              <w:rPr>
                <w:sz w:val="14"/>
                <w:szCs w:val="14"/>
                <w:color w:val="auto"/>
              </w:rPr>
            </w:pPr>
          </w:p>
        </w:tc>
        <w:tc>
          <w:tcPr>
            <w:tcW w:w="10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Consolidated</w:t>
            </w:r>
          </w:p>
        </w:tc>
        <w:tc>
          <w:tcPr>
            <w:tcW w:w="0" w:type="dxa"/>
            <w:vAlign w:val="bottom"/>
          </w:tcPr>
          <w:p>
            <w:pPr>
              <w:spacing w:after="0"/>
              <w:rPr>
                <w:sz w:val="1"/>
                <w:szCs w:val="1"/>
                <w:color w:val="auto"/>
              </w:rPr>
            </w:pPr>
          </w:p>
        </w:tc>
      </w:tr>
      <w:tr>
        <w:trPr>
          <w:trHeight w:val="213"/>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rPr>
              <w:t>Pawn</w:t>
            </w:r>
          </w:p>
        </w:tc>
        <w:tc>
          <w:tcPr>
            <w:tcW w:w="200" w:type="dxa"/>
            <w:vAlign w:val="bottom"/>
          </w:tcPr>
          <w:p>
            <w:pPr>
              <w:spacing w:after="0"/>
              <w:rPr>
                <w:sz w:val="18"/>
                <w:szCs w:val="18"/>
                <w:color w:val="auto"/>
              </w:rPr>
            </w:pPr>
          </w:p>
        </w:tc>
        <w:tc>
          <w:tcPr>
            <w:tcW w:w="96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Pawn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rPr>
              <w:t>Pawn</w:t>
            </w:r>
          </w:p>
        </w:tc>
        <w:tc>
          <w:tcPr>
            <w:tcW w:w="160" w:type="dxa"/>
            <w:vAlign w:val="bottom"/>
          </w:tcPr>
          <w:p>
            <w:pPr>
              <w:spacing w:after="0"/>
              <w:rPr>
                <w:sz w:val="18"/>
                <w:szCs w:val="18"/>
                <w:color w:val="auto"/>
              </w:rPr>
            </w:pPr>
          </w:p>
        </w:tc>
        <w:tc>
          <w:tcPr>
            <w:tcW w:w="112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color w:val="auto"/>
              </w:rPr>
              <w:t>Solutions</w:t>
            </w:r>
          </w:p>
        </w:tc>
        <w:tc>
          <w:tcPr>
            <w:tcW w:w="10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Eliminations</w:t>
            </w: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Retail merchandise sales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754,106</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401,132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1,167,149</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Pawn loan fees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407,763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603,781</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Leased merchandise income</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429,242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429,242</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and fees on retail finance products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231,171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231,171</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Wholesale scrap jewelry sales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168,691</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revenue</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w:t>
            </w:r>
          </w:p>
        </w:tc>
        <w:tc>
          <w:tcPr>
            <w:tcW w:w="0" w:type="dxa"/>
            <w:vAlign w:val="bottom"/>
          </w:tcPr>
          <w:p>
            <w:pPr>
              <w:spacing w:after="0"/>
              <w:rPr>
                <w:sz w:val="1"/>
                <w:szCs w:val="1"/>
                <w:color w:val="auto"/>
              </w:rPr>
            </w:pPr>
          </w:p>
        </w:tc>
      </w:tr>
      <w:tr>
        <w:trPr>
          <w:trHeight w:val="207"/>
        </w:trPr>
        <w:tc>
          <w:tcPr>
            <w:tcW w:w="37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Total revenue</w:t>
            </w: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1,269,708</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619,708</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54,950</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660,413</w:t>
            </w:r>
          </w:p>
        </w:tc>
        <w:tc>
          <w:tcPr>
            <w:tcW w:w="10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(2,155)</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2,602,624</w:t>
            </w:r>
          </w:p>
        </w:tc>
        <w:tc>
          <w:tcPr>
            <w:tcW w:w="0" w:type="dxa"/>
            <w:vAlign w:val="bottom"/>
          </w:tcPr>
          <w:p>
            <w:pPr>
              <w:spacing w:after="0"/>
              <w:rPr>
                <w:sz w:val="1"/>
                <w:szCs w:val="1"/>
                <w:color w:val="auto"/>
              </w:rPr>
            </w:pPr>
          </w:p>
        </w:tc>
      </w:tr>
      <w:tr>
        <w:trPr>
          <w:trHeight w:val="77"/>
        </w:trPr>
        <w:tc>
          <w:tcPr>
            <w:tcW w:w="37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retail merchandise sold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434,318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259,249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703,173</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of leased merchandise</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243,925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243,119</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lease losses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88,276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88,025</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 for loan losses</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118,468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118,468</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wholesale scrap jewelry sold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138,479</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cost of revenue</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cost of revenue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526,327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291,019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26,089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450,669</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1,291,898</w:t>
            </w:r>
          </w:p>
        </w:tc>
        <w:tc>
          <w:tcPr>
            <w:tcW w:w="0" w:type="dxa"/>
            <w:vAlign w:val="bottom"/>
          </w:tcPr>
          <w:p>
            <w:pPr>
              <w:spacing w:after="0"/>
              <w:rPr>
                <w:sz w:val="1"/>
                <w:szCs w:val="1"/>
                <w:color w:val="auto"/>
              </w:rPr>
            </w:pPr>
          </w:p>
        </w:tc>
      </w:tr>
      <w:tr>
        <w:trPr>
          <w:trHeight w:val="77"/>
        </w:trPr>
        <w:tc>
          <w:tcPr>
            <w:tcW w:w="3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743,381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328,689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209,744</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1,310,726</w:t>
            </w:r>
          </w:p>
        </w:tc>
        <w:tc>
          <w:tcPr>
            <w:tcW w:w="0" w:type="dxa"/>
            <w:vAlign w:val="bottom"/>
          </w:tcPr>
          <w:p>
            <w:pPr>
              <w:spacing w:after="0"/>
              <w:rPr>
                <w:sz w:val="1"/>
                <w:szCs w:val="1"/>
                <w:color w:val="auto"/>
              </w:rPr>
            </w:pPr>
          </w:p>
        </w:tc>
      </w:tr>
      <w:tr>
        <w:trPr>
          <w:trHeight w:val="77"/>
        </w:trPr>
        <w:tc>
          <w:tcPr>
            <w:tcW w:w="3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Expenses and other income: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395,790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196,158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71,434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673,607</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Administrative expenses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166,631</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80,400</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86,024</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(2,664)</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on foreign exchange</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Merger and acquisition expenses</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12,711</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income, net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(9,254)</w:t>
            </w:r>
          </w:p>
        </w:tc>
        <w:tc>
          <w:tcPr>
            <w:tcW w:w="0" w:type="dxa"/>
            <w:vAlign w:val="bottom"/>
          </w:tcPr>
          <w:p>
            <w:pPr>
              <w:spacing w:after="0"/>
              <w:rPr>
                <w:sz w:val="1"/>
                <w:szCs w:val="1"/>
                <w:color w:val="auto"/>
              </w:rPr>
            </w:pPr>
          </w:p>
        </w:tc>
      </w:tr>
      <w:tr>
        <w:trPr>
          <w:trHeight w:val="207"/>
        </w:trPr>
        <w:tc>
          <w:tcPr>
            <w:tcW w:w="37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Total expenses and other income</w:t>
            </w: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419,945</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209,331</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10,967</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73,525</w:t>
            </w:r>
          </w:p>
        </w:tc>
        <w:tc>
          <w:tcPr>
            <w:tcW w:w="10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292,183</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1,005,951</w:t>
            </w:r>
          </w:p>
        </w:tc>
        <w:tc>
          <w:tcPr>
            <w:tcW w:w="0" w:type="dxa"/>
            <w:vAlign w:val="bottom"/>
          </w:tcPr>
          <w:p>
            <w:pPr>
              <w:spacing w:after="0"/>
              <w:rPr>
                <w:sz w:val="1"/>
                <w:szCs w:val="1"/>
                <w:color w:val="auto"/>
              </w:rPr>
            </w:pPr>
          </w:p>
        </w:tc>
      </w:tr>
      <w:tr>
        <w:trPr>
          <w:trHeight w:val="77"/>
        </w:trPr>
        <w:tc>
          <w:tcPr>
            <w:tcW w:w="37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323,436</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119,358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(292,132)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304,775</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 Pawn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Merchandise Sales Operations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U.S. retail merchandise sales increased 11% to $838.4 million during the nine months ended September 30, 2026 compared to $754.1 million for the nine months ended September 30, 2025. Same-store retail sales increased 8% during the nine months ended September 30, 2026 compared to the nine months ended September 30, 2025. The increase in total and same-store retail sales was primarily due to continued strong demand for value priced merchandise and increased inventory levels during the nine months ended September 30, 2026 compared to the nine months ended September 30, 2025. The gross profit margin on retail merchandise sales in the U.S. was 43% during the nine months ended September 30, 2026 compared to 42% during the nine months ended September 30, 2025.</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 wholesale scrap jewelry revenue, consisting primarily of gold sales, increased 85% to $199.5 million during the nine months ended September 30, 2026 compared to $107.8 million during the nine months ended September 30, 2025. The scrap gross profit margin in the U.S. was 17% compared to the prior-year margin of 15%. The increase in wholesale scrap jewelry revenue was primarily due to increases in pawn lending activity over the past several quarters, which created more forfeited collateral to scrap, and the increase in gold prices over the past year.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3" w:name="page44"/>
    <w:bookmarkEnd w:id="43"/>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Pawn Lending Operations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 pawn loan fees increased 14% to $463.8 million during the nine months ended September 30, 2026 compared to $407.8 million for the nine months ended September 30, 2025. Same-store pawn loan fees increased 13% during the nine months ended September 30, 2026 compared to the nine months ended September 30, 2025. The increase in total and same-store pawn loan fees was primarily due to the higher pawn receivable balances.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Expenses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 operating expenses increased 8% to $428.6 million during the nine months ended September 30, 2026 compared to $395.8 million during the nine months ended September 30, 2025 while same-store operating expenses increased 6% compared with the prior-year period. The increase in operating expenses was primarily due to increased labor and variable compensation expenses.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Pre-Tax Operating Income</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 segment pre-tax operating income for the nine months ended September 30, 2026 was $403.9 million, which generated a pre-tax segment operating margin of 27% compared to $323.4 million and 25% in the prior year, respectively. The increase in the segment pre-tax operating income and margin reflected increased net revenue, partially offset by an increase in segment expenses.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Latin America Pawn Segment</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Latin America segment pre-tax operating income for the nine months ended September 30, 2026 compared to the nine months ended September 30, 2025 benefited from an 11% favorable change in the average value of the Mexican peso compared to the U.S. dollar. Constant currency results are non-GAAP financial measures, which exclude the effects of foreign currency translation and are calculated by translating current-year results at prior-year average exchange rates. See the “Constant Currency Results” section in “Non-GAAP Financial Information” below for additional discussion of constant currency operating results.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Merchandise Sales Operations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Latin America retail merchandise sales increased 28% (15% on a constant currency basis) to $514.1 million during the nine months ended September 30, 2026 compared to $401.1 million for the nine months ended September 30, 2025. Same-store retail sales also increased 28% (15% on a constant currency basis) during the nine months ended September 30, 2026 compared to the nine months ended September 30, 2025. The increase in constant currency total and same-store retail sales was primarily due to strong demand for value priced merchandise and increased inventory levels during the nine months ended September 30, 2026 compared to the nine months ended September 30, 2025. The gross profit margin on retail merchandise sales was 35% during both the nine months ended September 30, 2026 and 2025.</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Latin America wholesale scrap jewelry revenue, consisting primarily of gold sales, increased 183% to $106.5 million during the nine months ended September 30, 2026 compared to $37.6 million during the nine months ended September 30, 2025. The scrap gross profit margin in Latin America was 16% during the nine months ended September 30, 2026 compared to the prior-year margin of 15%. The increase in wholesale scrap jewelry revenue was primarily due to increases in pawn lending activity over the past several quarters, which created more forfeited collateral to scrap, and the increase in gold prices over the past year.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Pawn Lending Operations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Latin America pawn loan fees increased 32% (18% on a constant currency basis) totaling $239.3 million during the nine months ended September 30, 2026 compared to $181.0 million for the nine months ended September 30, 2025. Same-store pawn fees also increased 32% (18% on a constant currency basis) during the nine months ended September 30, 2026 compared to the nine months ended September 30, 2025. The constant currency increase in total and same-store pawn loan fees was primarily due to increased constant currency pawn receivables.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4" w:name="page45"/>
    <w:bookmarkEnd w:id="44"/>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Expenses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increased 26% (13% increase on a constant currency basis) to $247.2 million during the nine months ended September 30, 2026 compared to $196.2 million during the nine months ended September 30, 2025. Same-store operating expenses also increased 26% (13% increase on a constant currency basis) compared to the prior-year period. The constant currency increase in total and same-store operating expenses was primarily driven by general inflationary impacts and continued increases in the federally mandated minimum wage.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Pre-Tax Operating Income</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segment pre-tax operating income for the nine months ended September 30, 2026 was $173.6 million, which generated a pre-tax segment operating margin of 20% compared to $119.4 million and 19% in the prior year, respectively. The increase in the segment pre-tax operating income and margin reflected increased net revenue, partially offset by an increase in segment expenses.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U.K. Pawn Segment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14, 2025, the Company completed the H&amp;T Acquisition. The results of operations of the U.K. pawn segment for the nine months ended September 30, 2026 includes H&amp;T’s results of operations for nine full months while the comparable prior-year period includes H&amp;T’s results of operations for the H&amp;T PY Partial Period, affecting comparability.</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U.K. segment pre-tax operating income for the nine months ended September 30, 2026 compared to the nine months ended September 30, 2025 benefited from a 2% favorable change in the average value of the U.S. dollar compared to the British pound sterling. Constant currency results are non-GAAP financial measures, which exclude the effects of foreign currency translation and are calculated by translating current-year results at prior-year average exchange rates. See the “Constant Currency Results” section in “Non-GAAP Financial Information” below for additional discussion of constant currency operating results.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Merchandise Sales Operations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U.K. retail merchandise sales increased 368% (357% on a constant currency basis) to $65.8 million during the nine months ended September 30, 2026 compared to $14.1 million for the nine months ended September 30, 2025. The increase was primarily due to the H&amp;T PY Partial Period. The gross profit margin on retail merchandise sales was 30% during the nine months ended September 30, 2026 compared to 24% during the nine months ended September 30, 2025. The increase in the retail gross margin was primarily due to increased gold prices compared to a year ago.</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U.K. wholesale scrap jewelry revenue, consisting primarily of gold sales, increased 464% to $131.2 million during the nine months ended September 30, 2026 compared to $23.3 million during the nine months ended September 30, 2025. The increase was primarily due to the H&amp;T PY Partial Period. The scrap gross profit margin in the U.K. was 38% for the nine months ended September 30, 2026 and 37% for the nine months ended September 30, 2025.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Pawn Lending Operations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U.K. pawn loan fees increased 494% (481% on a constant currency basis), totaling $89.3 million during the nine months ended September 30, 2026 compared to $15.0 million for the nine months ended September 30, 2025. The increase was primarily due to the H&amp;T PY Partial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Expenses</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Operating expenses increased 496% (483% on a constant currency basis) to $61.0 million during the nine months ended September 30, 2026 compared to $10.2 million during the nine months ended September 30, 2025. The increase was primarily due to the H&amp;T PY Partial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Pre-Tax Operating Income</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segment pre-tax operating income for the nine months ended September 30, 2026 was $102.0 million, which generated a pre-tax segment operating margin of 34% compared to $17.9 million and 33% in the prior year, respectively. The increase in the segment pre-tax operating income was primarily due to the H&amp;T PY Partial Period.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5" w:name="page46"/>
    <w:bookmarkEnd w:id="45"/>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Retail POS Payment Solutions Segment</w:t>
      </w:r>
    </w:p>
    <w:p>
      <w:pPr>
        <w:spacing w:after="0" w:line="2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details retail POS payment solutions gross transaction volumes originated during the nine months ended September 30, 2026 as compared to the nine months ended September 30, 2025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40" w:type="dxa"/>
            <w:vAlign w:val="bottom"/>
            <w:gridSpan w:val="4"/>
          </w:tcPr>
          <w:p>
            <w:pPr>
              <w:jc w:val="right"/>
              <w:ind w:right="75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19"/>
        </w:trPr>
        <w:tc>
          <w:tcPr>
            <w:tcW w:w="8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September 30,</w:t>
            </w:r>
          </w:p>
        </w:tc>
        <w:tc>
          <w:tcPr>
            <w:tcW w:w="940" w:type="dxa"/>
            <w:vAlign w:val="bottom"/>
            <w:tcBorders>
              <w:bottom w:val="single" w:sz="8" w:color="auto"/>
            </w:tcBorders>
          </w:tcPr>
          <w:p>
            <w:pPr>
              <w:spacing w:after="0"/>
              <w:rPr>
                <w:sz w:val="19"/>
                <w:szCs w:val="19"/>
                <w:color w:val="auto"/>
              </w:rPr>
            </w:pPr>
          </w:p>
        </w:tc>
      </w:tr>
      <w:tr>
        <w:trPr>
          <w:trHeight w:val="211"/>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2025</w:t>
            </w:r>
          </w:p>
        </w:tc>
      </w:tr>
      <w:tr>
        <w:trPr>
          <w:trHeight w:val="21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merchandise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254,911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309,594</w:t>
            </w:r>
          </w:p>
        </w:tc>
      </w:tr>
      <w:tr>
        <w:trPr>
          <w:trHeight w:val="216"/>
        </w:trPr>
        <w:tc>
          <w:tcPr>
            <w:tcW w:w="826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Finance receivables </w:t>
            </w:r>
            <w:r>
              <w:rPr>
                <w:rFonts w:ascii="Times New Roman" w:cs="Times New Roman" w:eastAsia="Times New Roman" w:hAnsi="Times New Roman"/>
                <w:sz w:val="21"/>
                <w:szCs w:val="21"/>
                <w:color w:val="auto"/>
                <w:vertAlign w:val="superscript"/>
              </w:rPr>
              <w:t>(1)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423,401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435,217</w:t>
            </w:r>
          </w:p>
        </w:tc>
      </w:tr>
      <w:tr>
        <w:trPr>
          <w:trHeight w:val="235"/>
        </w:trPr>
        <w:tc>
          <w:tcPr>
            <w:tcW w:w="8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gross transaction volume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678,312</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744,811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00" w:hanging="292"/>
        <w:spacing w:after="0"/>
        <w:tabs>
          <w:tab w:leader="none" w:pos="30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nine months ended September 30, 2026 and 2025, includes $50.5 million and $10.4 million of OBS Loans, respectively.</w:t>
      </w:r>
    </w:p>
    <w:p>
      <w:pPr>
        <w:spacing w:after="0" w:line="200" w:lineRule="exact"/>
        <w:rPr>
          <w:sz w:val="20"/>
          <w:szCs w:val="20"/>
          <w:color w:val="auto"/>
        </w:rPr>
      </w:pPr>
    </w:p>
    <w:p>
      <w:pPr>
        <w:spacing w:after="0" w:line="27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details certain retail POS payment solutions portfolio metrics for the nine months ended September 30, 2026 as compared to the nine months ended September 30, 2025:</w:t>
      </w:r>
    </w:p>
    <w:p>
      <w:pPr>
        <w:spacing w:after="0" w:line="234"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6"/>
          <w:szCs w:val="16"/>
          <w:color w:val="auto"/>
        </w:rPr>
        <w:t>Nine Months Ended</w:t>
      </w:r>
    </w:p>
    <w:p>
      <w:pPr>
        <w:spacing w:after="0" w:line="32"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6"/>
          <w:szCs w:val="16"/>
          <w:color w:val="auto"/>
        </w:rPr>
        <w:t>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8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merchandise portfolio metrics:</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16"/>
        </w:trPr>
        <w:tc>
          <w:tcPr>
            <w:tcW w:w="900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Provision rate </w:t>
            </w:r>
            <w:r>
              <w:rPr>
                <w:rFonts w:ascii="Times New Roman" w:cs="Times New Roman" w:eastAsia="Times New Roman" w:hAnsi="Times New Roman"/>
                <w:sz w:val="21"/>
                <w:szCs w:val="21"/>
                <w:color w:val="auto"/>
                <w:vertAlign w:val="superscript"/>
              </w:rPr>
              <w:t>(1)</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28.0 %</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28.5 %</w:t>
            </w:r>
          </w:p>
        </w:tc>
      </w:tr>
      <w:tr>
        <w:trPr>
          <w:trHeight w:val="216"/>
        </w:trPr>
        <w:tc>
          <w:tcPr>
            <w:tcW w:w="900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Average monthly net charge-off rate </w:t>
            </w:r>
            <w:r>
              <w:rPr>
                <w:rFonts w:ascii="Times New Roman" w:cs="Times New Roman" w:eastAsia="Times New Roman" w:hAnsi="Times New Roman"/>
                <w:sz w:val="21"/>
                <w:szCs w:val="21"/>
                <w:color w:val="auto"/>
                <w:vertAlign w:val="superscript"/>
              </w:rPr>
              <w:t>(2)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6.5 %</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6.2 %</w:t>
            </w:r>
          </w:p>
        </w:tc>
      </w:tr>
      <w:tr>
        <w:trPr>
          <w:trHeight w:val="216"/>
        </w:trPr>
        <w:tc>
          <w:tcPr>
            <w:tcW w:w="900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Delinquency rate </w:t>
            </w:r>
            <w:r>
              <w:rPr>
                <w:rFonts w:ascii="Times New Roman" w:cs="Times New Roman" w:eastAsia="Times New Roman" w:hAnsi="Times New Roman"/>
                <w:sz w:val="21"/>
                <w:szCs w:val="21"/>
                <w:color w:val="auto"/>
                <w:vertAlign w:val="superscript"/>
              </w:rPr>
              <w:t>(3)</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26.5 %</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25.5 %</w:t>
            </w:r>
          </w:p>
        </w:tc>
      </w:tr>
      <w:tr>
        <w:trPr>
          <w:trHeight w:val="95"/>
        </w:trPr>
        <w:tc>
          <w:tcPr>
            <w:tcW w:w="798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r>
      <w:tr>
        <w:trPr>
          <w:trHeight w:val="213"/>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Finance receivables portfolio metrics: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9000" w:type="dxa"/>
            <w:vAlign w:val="bottom"/>
            <w:gridSpan w:val="2"/>
            <w:shd w:val="clear" w:color="auto" w:fill="CCEEFF"/>
          </w:tcPr>
          <w:p>
            <w:pPr>
              <w:ind w:left="180"/>
              <w:spacing w:after="0" w:line="219" w:lineRule="exact"/>
              <w:rPr>
                <w:sz w:val="20"/>
                <w:szCs w:val="20"/>
                <w:color w:val="auto"/>
              </w:rPr>
            </w:pPr>
            <w:r>
              <w:rPr>
                <w:rFonts w:ascii="Times New Roman" w:cs="Times New Roman" w:eastAsia="Times New Roman" w:hAnsi="Times New Roman"/>
                <w:sz w:val="16"/>
                <w:szCs w:val="16"/>
                <w:color w:val="auto"/>
              </w:rPr>
              <w:t xml:space="preserve">Provision rate </w:t>
            </w:r>
            <w:r>
              <w:rPr>
                <w:rFonts w:ascii="Times New Roman" w:cs="Times New Roman" w:eastAsia="Times New Roman" w:hAnsi="Times New Roman"/>
                <w:sz w:val="21"/>
                <w:szCs w:val="21"/>
                <w:color w:val="auto"/>
                <w:vertAlign w:val="superscript"/>
              </w:rPr>
              <w:t>(1)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29.2 %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27.2 %</w:t>
            </w:r>
          </w:p>
        </w:tc>
      </w:tr>
      <w:tr>
        <w:trPr>
          <w:trHeight w:val="216"/>
        </w:trPr>
        <w:tc>
          <w:tcPr>
            <w:tcW w:w="900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Average monthly net charge-off rate </w:t>
            </w:r>
            <w:r>
              <w:rPr>
                <w:rFonts w:ascii="Times New Roman" w:cs="Times New Roman" w:eastAsia="Times New Roman" w:hAnsi="Times New Roman"/>
                <w:sz w:val="21"/>
                <w:szCs w:val="21"/>
                <w:color w:val="auto"/>
                <w:vertAlign w:val="superscript"/>
              </w:rPr>
              <w:t>(2)</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4.8 %</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4.8 %</w:t>
            </w:r>
          </w:p>
        </w:tc>
      </w:tr>
      <w:tr>
        <w:trPr>
          <w:trHeight w:val="216"/>
        </w:trPr>
        <w:tc>
          <w:tcPr>
            <w:tcW w:w="900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Delinquency rate </w:t>
            </w:r>
            <w:r>
              <w:rPr>
                <w:rFonts w:ascii="Times New Roman" w:cs="Times New Roman" w:eastAsia="Times New Roman" w:hAnsi="Times New Roman"/>
                <w:sz w:val="21"/>
                <w:szCs w:val="21"/>
                <w:color w:val="auto"/>
                <w:vertAlign w:val="superscript"/>
              </w:rPr>
              <w:t>(3)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22.8 %</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22.4 %</w:t>
            </w:r>
          </w:p>
        </w:tc>
      </w:tr>
    </w:tbl>
    <w:p>
      <w:pPr>
        <w:spacing w:after="0" w:line="279"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Calculated as provision for lease or loan losses as a percentage of the respective gross transaction volume originated.</w:t>
      </w:r>
    </w:p>
    <w:p>
      <w:pPr>
        <w:spacing w:after="0" w:line="204"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Calculated as charge-offs, net of recoveries, as a percentage of the respective average earning asset balance before allowance for lease or loan losses.</w:t>
      </w:r>
    </w:p>
    <w:p>
      <w:pPr>
        <w:spacing w:after="0" w:line="221"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Calculated as the percentage of the respective contractual earning asset balance owed that is 1 to 89 days past due (the Company charges off leases and finance receivables when they are 90 days or more contractually past due).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LTO Operations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Leased merchandise income decreased 19% to $348.7 million during the nine months ended September 30, 2026 compared to $429.2 million for the nine months ended September 30, 2025, which was primarily due to lower average leased merchandise balances outstanding during the nine months ended September 30, 2026 compared to the nine months ended September 30, 2025.</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Depreciation of leased merchandise decreased 11% to $216.3 million during the nine months ended September 30, 2026 compared to $243.9 million during the nine months ended September 30, 2025, primarily due to the decrease in leased merchandise balances outstanding, partially offset by increased early buyout activity resulting in an increase in accelerated depreciation during the nine months ended September 30, 2026 compared to the nine months ended September 30, 2025. As a percentage of leased merchandise income, depreciation of leased merchandise increased to 62% during the nine months ended September 30, 2026 from 57% during the nine months ended September 30, 2025.</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Provision for lease losses decreased 19% to $71.5 million during the nine months ended September 30, 2026 compared to $88.3 million for the nine months ended September 30, 2025, which was primarily due to the 18% decrease in gross transaction volumes during the nine months ended September 30, 2026 compared to the nine months ended September 30, 2025. As a percentage of gross transaction volume, the provision for lease losses decreased slightly to 28% during the nine months ended September 30, 2026 compared to 29% during the nine months ended September 30, 2025.</w:t>
      </w:r>
    </w:p>
    <w:p>
      <w:pPr>
        <w:sectPr>
          <w:pgSz w:w="11900" w:h="16838" w:orient="portrait"/>
          <w:cols w:equalWidth="0" w:num="1">
            <w:col w:w="11240"/>
          </w:cols>
          <w:pgMar w:left="320" w:top="162" w:right="339" w:bottom="1440" w:gutter="0" w:footer="0" w:header="0"/>
        </w:sect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type w:val="continuous"/>
        </w:sectPr>
      </w:pPr>
    </w:p>
    <w:bookmarkStart w:id="46" w:name="page47"/>
    <w:bookmarkEnd w:id="46"/>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 Finance Operations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and fees on retail finance products decreased 4% to $222.0 million during the nine months ended September 30, 2026 compared to $231.2 million for the nine months ended September 30, 2025. The decrease was primarily due to a slight decline in portfolio yield primarily as a result of AFF expanding its offerings and merchant relationships in certain services sector verticals over the past twelve months, some of which are provided at lower interest rates, during the nine months ended September 30, 2026 compared to the nine months ended September 30, 2025.</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Provision for loan losses increased 4% to $123.6 million during the nine months ended September 30, 2026 compared to $118.5 million for the nine months ended September 30, 2025, which was primarily due to higher loan loss provisioning rates used during the nine months ended September 30, 2026 compared to the nine months ended September 30, 2025, partially offset by the 3% decrease in gross transaction volumes. As a percentage of gross transaction volume, the provision for loan losses increased to 29% during the nine months ended September 30, 2026 compared to 27% during the nine months ended September 30,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Expenses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decreased 3% to $69.4 million during the nine months ended September 30, 2026 compared to $71.4 million during the nine months ended September 30, 2025, which was primarily due to the decrease in gross transaction volumes. As a percentage of segment revenues, operating expenses increased to 12% during the nine months ended September 30, 2026 from 11% during the nine months ended September 30, 2025.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Pre-Tax Operating Income</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retail POS payment solutions segment pre-tax operating income for the nine months ended September 30, 2026 was $87.8 million compared to $136.2 million in the nine months ended September 30, 2025. The decrease was primarily the result of the decrease in segment net revenue, partially offset by a decrease in operating expenses.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Corporate Expenses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Administrative expenses increased 20% to $199.3 million during the nine months ended September 30, 2026 compared to $166.6 million during the nine months ended September 30, 2025, primarily due to a full nine months of administrative expenses of H&amp;T, increased variable compensation, general inflationary impacts, and an 11% change in the average value of the Mexican peso resulting in higher U.S. dollar translated administrative expenses in Latin America, partially offset by the $11.0 million CFPB litigation settlement accrued for in the second quarter of 2025. As a percentage of revenue, administrative expenses were 6% during both the nine months ended September 30, 2026 and 2025.</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increased 20% to $48.4 million during the nine months ended September 30, 2026 compared to $40.2 million in the nine months ended September 30, 2025, primarily due to a full nine months of depreciation and amortization expenses of H&amp;T during the nine months ended September 30, 2026.</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increased 25% to $107.9 million during the nine months ended September 30, 2026 compared to $86.0 million for the nine months ended September 30, 2025, primarily due to increased outstanding long-term debt balances. See Note 8 of Notes to Consolidated Financial Statements and “Liquidity and Capital Resources.”</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Merger and acquisition expenses decreased 14% to $11.0 million during the nine months ended September 30, 2026 compared to $12.7 million in the nine months ended September 30, 2025, primarily due to significant one-time expenses incurred with the H&amp;T Acquisition during the nine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7" w:name="page48"/>
    <w:bookmarkEnd w:id="47"/>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Capital Requirements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primary capital requirements include the:</w:t>
      </w:r>
    </w:p>
    <w:p>
      <w:pPr>
        <w:spacing w:after="0" w:line="252" w:lineRule="exact"/>
        <w:rPr>
          <w:sz w:val="20"/>
          <w:szCs w:val="20"/>
          <w:color w:val="auto"/>
        </w:rPr>
      </w:pPr>
    </w:p>
    <w:p>
      <w:pPr>
        <w:ind w:left="66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pawn operations through growth of pawn receivables and inventories in existing stores, new store openings, strategic acquisitions of pawn stores and purchases of underlying real estate at new and existing locations;</w:t>
      </w:r>
    </w:p>
    <w:p>
      <w:pPr>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of earning assets in the retail POS payment solutions operations through transaction volumes generated from new and existing merchant partners; and</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of capital to shareholders through dividends and stock repurchases.</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material capital requirements include operating expenses (see Note 4 of Notes to Consolidated Financial Statements regarding operating lease commitments), maintenance capital expenditures related to its facilities, technology platforms, general corporate operating activities, income tax payments and debt service, among others. The Company believes that net cash provided by operating activities and available and unused funds under its revolving credit facilities will be adequate to meet its liquidity and capital needs for these items over the next 12 months and also in the longer-term beyond the next 12 months.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Expand Pawn Operations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intends to continue expansion of its pawn operations through growth of pawn receivables and inventories in existing stores along with new store openings and acquisitions.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opened three new stores and acquired 11 stores in the U.S., opened 16 new stores in Latin America, and opened 11 new stores and acquired one store in the U.K. The Company evaluates potential acquisitions based upon growth potential, purchase price, available liquidity, strategic fit and quality of management personnel, among other factors. Future store openings and acquisitions are subject to the Company’s ability to identify acquisition opportunities and new location sites in markets with attractive demographics and favorable regulatory environments.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pending Ramsdens Acquisition, the Company expects to acquire the entire issued and to be issued share capital of Ramsdens by the end of 2026 by paying Ramsdens’ shareholders 675 pence per share in cash. The total equity value for the Ramsdens Acquisition is approximately £228.6 million ($303.7 million USD using GBP/USD exchange rate of 1.33).</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also incurred, and expects to incur, additional costs, expenses and fees for professional services, financing and other transaction and integration costs in connection with the Ramsdens Acquisition and the H&amp;T Acquisition. The substantial majority of these costs will be non-recurring expenses. The Company plans to finance the Ramsdens Acquisition and other transaction and integration costs with available funds under the Credit Facility and believes it has adequate capacity to borrow the necessary funds under the most restrictive covenants under its credit agreements.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viewed by management as a discretionary expenditure not required to operate its pawn stores, the Company may continue to strategically purchase real estate from its landlords at existing stores or in conjunction with pawn store acquisitions as opportunities arise at reasonable valuations. During the nine months ended September 30, 2026, the Company purchased the real estate at 37 store locations, primarily from landlords at existing stores, for a cumulative purchase price of $69.7 million. As of September 30, 2026, the Company owned the real estate at a total of 480 pawn locations, primarily in the U.S., along with its corporate headquarters building in Fort Worth, Texas.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the proposed Ramsdens Acquisition, the Company currently has no other contractual commitments for materially significant future acquisitions, business combinations or capital commitments.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Expand Retail POS Payment Solutions Operations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AFF expects to expand its business primarily by promoting and expanding relationships with both new and existing customers and retail merchant partners. In addition, AFF has made, and intends to continue to make, investments in its customer and merchant support operations and facilities, its technology platforms and its proprietary decisioning platforms and processes. In addition to utilizing cash flows generated from its own operations to fund expected 2026 growth, AFF has access to the additional sources of liquidity described below if needed to fund further expansion activities.</w:t>
      </w:r>
    </w:p>
    <w:p>
      <w:pPr>
        <w:sectPr>
          <w:pgSz w:w="11900" w:h="16838" w:orient="portrait"/>
          <w:cols w:equalWidth="0" w:num="1">
            <w:col w:w="11240"/>
          </w:cols>
          <w:pgMar w:left="320" w:top="1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type w:val="continuous"/>
        </w:sectPr>
      </w:pPr>
    </w:p>
    <w:bookmarkStart w:id="48" w:name="page49"/>
    <w:bookmarkEnd w:id="48"/>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Return of Capital to Shareholders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paid quarterly cash dividends to its shareholders totaling $55.1 million. In October 2026, the Company’s Board of Directors declared a $0.46 per share fourth quarter cash dividend on common shares outstanding, or an aggregate of $19.7 million based on the September 30, 2026 share count, to be paid on November 24, 2026 to stockholders of record as of November 13, 2026. While the Company currently expects to continue the payment of quarterly cash dividends, the amount, declaration and payment of cash dividends in the future (quarterly or otherwise) will be made by the Board of Directors, from time to time, subject to the Company’s financial condition, results of operations, business requirements, compliance with legal requirements, debt covenant restrictions and other relevant factors.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repurchased a total of 1,210,000 shares of common stock at an aggregate cost of $250.0 million and an average cost per share of $206.66. The Company incurred $2.5 million of excise taxes during the nine months ended September 30, 2026.</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2026, the Company completed its October 2025 share repurchase program, and the Board of Directors authorized a new share repurchase program for up to $150.0 million of the Company’s outstanding common stock, of which $50.0 million remains available. The Company intends to continue repurchases under its active share repurchase program, including through open market transactions under trading plans in accordance with Rule 10b5-1 and Rule 10b-18 under the Securities Exchange Act of 1934, as amended (the “Exchange Act”), subject to a variety of factors, including, but not limited to, the level of cash balances, liquidity needs, credit availability, debt covenant restrictions, general business and economic conditions, regulatory requirements, the market price of the Company’s stock, the Company’s dividend policy and the availability of acquisitions or other alternative investment opportunities.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Liquidity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regularly evaluates opportunities to optimize its capital structure, including through consideration of the issuance of debt or equity, to refinance existing debt and to enter into interest rate hedge transactions, such as interest rate swap agreements. As of September 30, 2026, the Company’s primary sources of liquidity were $203.2 million in cash and cash equivalents and $930.2 million of available and unused funds under the Company’s revolving unsecured credit facilities, subject to certain financial covenants (see Note 8 of Notes to Consolidated Financial Statements). During the nine months ended September 30, 2026, the Company repaid in full all outstanding amounts under its U.K. Credit Facility and U.K. Term Loans, and the related credit agreements were terminated. The Company had working capital of $1,637.2 million as of September 30, 2026.</w:t>
      </w:r>
    </w:p>
    <w:p>
      <w:pPr>
        <w:spacing w:after="0" w:line="3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cash and cash equivalents as of September 30, 2026 included $62.9 million held by its foreign subsidiaries. These cash balances, which are primarily held in Mexican pesos and British pounds sterling, are associated with foreign earnings the Company has asserted are indefinitely reinvested and which the Company plans to use to support its continued growth plans outside the U.S. through funding of capital expenditures, acquisitions, operating expenses or other similar cash needs of the Company’s foreign operations.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liquidity is affected by a number of factors, including changes in general customer traffic and demand, pawn loan balances, collection of pawn fees, merchandise sales, inventory levels, LTO merchandise, finance receivable balances, collection of lease and finance receivable payments, seasonality, operating expenses, administrative expenses, expenses related to merger and acquisition activities, litigation-related expenses, tax rates, gold prices, foreign currency exchange rates and the pace of new pawn store expansion and acquisitions, including the pending Ramsdens Acquisition. Additionally, a prolonged reduction in earnings and EBITDA could limit the Company’s future ability to fully borrow on its credit facilities under current leverage covenants. Regulatory developments affecting the Company’s operations may also impact profitability and liquidity. See “Governmental Regulation.”</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needed, the Company could seek to raise additional funds from a variety of sources, including, but not limited to, the sale of assets, reductions in operating expenses, capital expenditures and dividends, the forbearance or deferral of certain operating expenses, the issuance of debt or equity securities, utilizing other structured financing arrangements, the leveraging of currently unencumbered real estate owned by the Company and/or changes to its management of current assets. The characteristics of the Company’s current assets, specifically the ability to rapidly liquidate gold jewelry inventory, which accounts for 67% of total inventory, give the Company flexibility to quickly increase cash flow if necessary.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9" w:name="page50"/>
    <w:bookmarkEnd w:id="49"/>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and Liquidity Metrics</w:t>
      </w:r>
    </w:p>
    <w:p>
      <w:pPr>
        <w:spacing w:after="0" w:line="2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tables set forth certain historical information with respect to the Company’s sources and uses of cash and other key indicators of liquidity (dollars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40" w:type="dxa"/>
            <w:vAlign w:val="bottom"/>
          </w:tcPr>
          <w:p>
            <w:pPr>
              <w:spacing w:after="0"/>
              <w:rPr>
                <w:sz w:val="18"/>
                <w:szCs w:val="18"/>
                <w:color w:val="auto"/>
              </w:rPr>
            </w:pPr>
          </w:p>
        </w:tc>
        <w:tc>
          <w:tcPr>
            <w:tcW w:w="346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6"/>
                <w:szCs w:val="16"/>
                <w:color w:val="auto"/>
              </w:rPr>
              <w:t>Nine Months Ended September 30,</w:t>
            </w:r>
          </w:p>
        </w:tc>
        <w:tc>
          <w:tcPr>
            <w:tcW w:w="720" w:type="dxa"/>
            <w:vAlign w:val="bottom"/>
            <w:tcBorders>
              <w:bottom w:val="single" w:sz="8" w:color="auto"/>
            </w:tcBorders>
          </w:tcPr>
          <w:p>
            <w:pPr>
              <w:spacing w:after="0"/>
              <w:rPr>
                <w:sz w:val="18"/>
                <w:szCs w:val="18"/>
                <w:color w:val="auto"/>
              </w:rPr>
            </w:pPr>
          </w:p>
        </w:tc>
      </w:tr>
      <w:tr>
        <w:trPr>
          <w:trHeight w:val="211"/>
        </w:trPr>
        <w:tc>
          <w:tcPr>
            <w:tcW w:w="70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720" w:type="dxa"/>
            <w:vAlign w:val="bottom"/>
            <w:tcBorders>
              <w:bottom w:val="single" w:sz="8" w:color="auto"/>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720" w:type="dxa"/>
            <w:vAlign w:val="bottom"/>
            <w:tcBorders>
              <w:bottom w:val="single" w:sz="8" w:color="auto"/>
            </w:tcBorders>
          </w:tcPr>
          <w:p>
            <w:pPr>
              <w:spacing w:after="0"/>
              <w:rPr>
                <w:sz w:val="18"/>
                <w:szCs w:val="18"/>
                <w:color w:val="auto"/>
              </w:rPr>
            </w:pPr>
          </w:p>
        </w:tc>
      </w:tr>
      <w:tr>
        <w:trPr>
          <w:trHeight w:val="21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provided by operating activities</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472,393</w:t>
            </w: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379,297</w:t>
            </w:r>
          </w:p>
        </w:tc>
      </w:tr>
      <w:tr>
        <w:trPr>
          <w:trHeight w:val="214"/>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 used in investing activities</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(306,686)</w:t>
            </w:r>
          </w:p>
        </w:tc>
        <w:tc>
          <w:tcPr>
            <w:tcW w:w="660" w:type="dxa"/>
            <w:vAlign w:val="bottom"/>
          </w:tcPr>
          <w:p>
            <w:pPr>
              <w:spacing w:after="0"/>
              <w:rPr>
                <w:sz w:val="18"/>
                <w:szCs w:val="18"/>
                <w:color w:val="auto"/>
              </w:rPr>
            </w:pP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(662,413)</w:t>
            </w:r>
          </w:p>
        </w:tc>
      </w:tr>
      <w:tr>
        <w:trPr>
          <w:trHeight w:val="21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(used in) provided by financing activities</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(88,883)</w:t>
            </w: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225,644</w:t>
            </w:r>
          </w:p>
        </w:tc>
      </w:tr>
      <w:tr>
        <w:trPr>
          <w:trHeight w:val="564"/>
        </w:trPr>
        <w:tc>
          <w:tcPr>
            <w:tcW w:w="70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right"/>
              <w:ind w:right="619"/>
              <w:spacing w:after="0"/>
              <w:rPr>
                <w:sz w:val="20"/>
                <w:szCs w:val="20"/>
                <w:color w:val="auto"/>
              </w:rPr>
            </w:pPr>
            <w:r>
              <w:rPr>
                <w:rFonts w:ascii="Times New Roman" w:cs="Times New Roman" w:eastAsia="Times New Roman" w:hAnsi="Times New Roman"/>
                <w:sz w:val="16"/>
                <w:szCs w:val="16"/>
                <w:color w:val="auto"/>
              </w:rPr>
              <w:t>As of September 30,</w:t>
            </w:r>
          </w:p>
        </w:tc>
        <w:tc>
          <w:tcPr>
            <w:tcW w:w="720" w:type="dxa"/>
            <w:vAlign w:val="bottom"/>
            <w:tcBorders>
              <w:bottom w:val="single" w:sz="8" w:color="auto"/>
            </w:tcBorders>
          </w:tcPr>
          <w:p>
            <w:pPr>
              <w:spacing w:after="0"/>
              <w:rPr>
                <w:sz w:val="24"/>
                <w:szCs w:val="24"/>
                <w:color w:val="auto"/>
              </w:rPr>
            </w:pPr>
          </w:p>
        </w:tc>
      </w:tr>
      <w:tr>
        <w:trPr>
          <w:trHeight w:val="211"/>
        </w:trPr>
        <w:tc>
          <w:tcPr>
            <w:tcW w:w="70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720" w:type="dxa"/>
            <w:vAlign w:val="bottom"/>
            <w:tcBorders>
              <w:bottom w:val="single" w:sz="8" w:color="auto"/>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720" w:type="dxa"/>
            <w:vAlign w:val="bottom"/>
            <w:tcBorders>
              <w:bottom w:val="single" w:sz="8" w:color="auto"/>
            </w:tcBorders>
          </w:tcPr>
          <w:p>
            <w:pPr>
              <w:spacing w:after="0"/>
              <w:rPr>
                <w:sz w:val="18"/>
                <w:szCs w:val="18"/>
                <w:color w:val="auto"/>
              </w:rPr>
            </w:pPr>
          </w:p>
        </w:tc>
      </w:tr>
      <w:tr>
        <w:trPr>
          <w:trHeight w:val="21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Working capital</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1,637,242</w:t>
            </w: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1,433,101</w:t>
            </w:r>
          </w:p>
        </w:tc>
      </w:tr>
      <w:tr>
        <w:trPr>
          <w:trHeight w:val="212"/>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ratio</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4.8:1</w:t>
            </w: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 Provided by Operating Activities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increased $93.1 million, or 25%, from $379.3 million for the nine months ended September 30, 2025 to $472.4 million for the nine months ended September 30, 2026 due to net changes in certain non-cash adjustments to reconcile net income to operating cash flow and net changes in other operating assets and liabilities (as detailed in the consolidated statements of cash flows) and an increase in net income of $76.1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 Used in Investing Activities</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cash used in investing activities decreased $355.7 million, or 54%, from $662.4 million for the nine months ended September 30, 2025 to $306.7 million for the nine months ended September 30, 2026. Cash flows from investing activities are utilized primarily to fund pawn store acquisitions, purchase furniture, fixtures, equipment and improvements, which includes capital expenditures for improvements to existing stores and for new pawn store openings and other corporate assets, and discretionary purchases of store real property. In addition, cash flows related to the funding of new pawn loans, net of cash repayments and recovery of principal through the sale of inventories acquired from forfeiture of pawn collateral and changes in net finance receivables, are included in investing activities. The Company paid $56.0 million for furniture, fixtures, equipment and improvements and $69.7 million for discretionary pawn store real property purchases during the nine months ended September 30, 2026 compared to $37.4 million and $44.2 million in the prior-year period, respectively. The Company paid $21.1 million in cash related to pawn store acquisitions during the nine months ended September 30, 2026 compared to $406.9 million during the nine months ended September 30, 2025. The Company funded a net increase in pawn loans of $140.8 million during the nine months ended September 30, 2026 and funded a net increase of $98.7 million during the nine months ended September 30, 2025. The Company funded a net increase in finance receivables of $19.2 million during the nine months ended September 30, 2026 and funded a net increase of $75.2 million during the nine months ended September 30, 2025.</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 Used in Financing Activities</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cash provided by financing activities decreased $314.5 million, or 139%, from net cash provided by financing activities of $225.6 million for the nine months ended September 30, 2025 to net cash used in financing activities of $88.9 million for the nine months ended September 30, 2026. Net payments on credit facilities were $444.5 million during the nine months ended September 30, 2026 compared to net borrowings of $374.3 million during the nine months ended September 30, 2025. During the nine months ended September 30, 2026, the Company received $750.0 million in proceeds from the offering of its 2034 Notes which were used to repay a portion of the outstanding balance on the Credit Facility, and to repay the U.K. Credit Facility in full and to repay the U.K. Term Loans in full, each of which were assumed as part of the H&amp;T Acquisition in 2025, after payment of fees and expenses related to the offering. The Company paid debt issuance costs of $12.3 million during the nine months ended September 30, 2026. The Company paid $60.5 million to terminate the U.K. Term Loans and paid $4.2 million in related prepayment penalties. The Company funded $251.2 million of share repurchases during the nine months ended September 30, 2026 compared to $90.5 million during the nine months ended September 30, 2025. The Company paid dividends of $55.1 million during the nine months ended September 30, 2026 compared to $52.4 million during the nine months ended September 30, 2025. In addition, the Company paid withholding taxes of $11.2 million on net share settlements of restricted stock unit awards during the nine months ended September 30, 2026 compared to $5.8 million during the nine months ended September 30, 2025.</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50" w:name="page51"/>
    <w:bookmarkEnd w:id="50"/>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pawn and retail POS payment solutions businesses are subject to significant regulation in all of the jurisdictions in which it operates. Existing regulations and regulatory developments are further and more completely described under “Governmental Regulation” in Part I, Item 1 of the Company’s 2025 Annual Report on Form 10-K filed with the SEC on February 9, 2026 and in subsequent documents filed with the SEC. There have been no changes to the significant regulation that the Company’s businesses are subject to that the Company believes would have a material impact on its businesses or results of operations from those described in the Annual Report on Form 10-K for the year ended December 31,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INFORMATION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uses certain financial calculations such as adjusted net income, adjusted diluted earnings per share, EBITDA, adjusted EBITDA, free cash flow, adjusted free cash flow and constant currency results as factors in the measurement and evaluation of the Company’s operating performance and period-over-period growth. The Company derives these financial calculations on the basis of methodologies other than GAAP, primarily by excluding from a comparable GAAP measure certain items the Company does not consider to be representative of its actual operating performance. These financial calculations are “non-GAAP financial measures” as defined under the SEC rules. The Company uses these non-GAAP financial measures in operating its business because management believes they are less susceptible to variances in actual operating performance that can result from the excluded items, other infrequent charges and currency fluctuations. The Company presents these financial measures to investors because management believes they are useful to investors in evaluating the primary factors that drive the Company’s core operating performance and provide greater transparency into the Company’s results of operations. However, items that are excluded and other adjustments and assumptions that are made in calculating these non-GAAP financial measures are significant components in understanding and assessing the Company’s financial performance. These non-GAAP financial measures should be evaluated in conjunction with, and are not a substitute for, the Company’s GAAP financial measures. Further, because these non-GAAP financial measures are not determined in accordance with GAAP and are thus susceptible to varying calculations, the non-GAAP financial measures, as presented, may not be comparable to other similarly-titled measures of other companies.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adjusted the applicable financial calculations to exclude merger and acquisition expenses, amortization of acquired intangible assets, the CFPB litigation settlement and certain other income and expenses. The Company does not consider these items to be related to the organic operations of the Company’s businesses or its continuing operations and are generally not relevant to assessing or estimating the long-term performance of the Company. In addition, excluding these items allows for more accurate comparisons of the financial results to prior periods. Merger and acquisition expenses include incremental costs directly associated with merger and acquisition activities, including professional fees, legal expenses, severance, retention and other employee-related costs, contract breakage costs, costs related to the consolidation of technology systems and corporate facilities and other integration costs, among others.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Net Income and Adjusted Diluted Earnings Per Share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believes the presentation of adjusted net income and adjusted diluted earnings per share provides investors with greater transparency and provides a more complete understanding of the Company’s financial performance and prospects for the future by excluding items that management believes are non-operating in nature and are not representative of the Company’s core operating performance. In addition, management believes the adjustments shown below are useful to investors in order to allow them to compare the Company’s financial results for the current periods presented with the prior periods presented.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51" w:name="page52"/>
    <w:bookmarkEnd w:id="51"/>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between net income and diluted earnings per share calculated in accordance with GAAP to adjusted net income and adjusted diluted earnings per share, which are shown net of tax (in thousands,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8"/>
          </w:tcPr>
          <w:p>
            <w:pPr>
              <w:ind w:left="900"/>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8"/>
          </w:tcPr>
          <w:p>
            <w:pPr>
              <w:ind w:left="940"/>
              <w:spacing w:after="0"/>
              <w:rPr>
                <w:sz w:val="20"/>
                <w:szCs w:val="20"/>
                <w:color w:val="auto"/>
              </w:rPr>
            </w:pPr>
            <w:r>
              <w:rPr>
                <w:rFonts w:ascii="Times New Roman" w:cs="Times New Roman" w:eastAsia="Times New Roman" w:hAnsi="Times New Roman"/>
                <w:sz w:val="16"/>
                <w:szCs w:val="16"/>
                <w:color w:val="auto"/>
              </w:rPr>
              <w:t>Nine Months Ended September 30,</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r>
        <w:trPr>
          <w:trHeight w:val="208"/>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2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Per Share</w:t>
            </w:r>
          </w:p>
        </w:tc>
        <w:tc>
          <w:tcPr>
            <w:tcW w:w="10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Per Share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4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 Share</w:t>
            </w:r>
          </w:p>
        </w:tc>
        <w:tc>
          <w:tcPr>
            <w:tcW w:w="100" w:type="dxa"/>
            <w:vAlign w:val="bottom"/>
          </w:tcPr>
          <w:p>
            <w:pPr>
              <w:spacing w:after="0"/>
              <w:rPr>
                <w:sz w:val="18"/>
                <w:szCs w:val="18"/>
                <w:color w:val="auto"/>
              </w:rPr>
            </w:pPr>
          </w:p>
        </w:tc>
        <w:tc>
          <w:tcPr>
            <w:tcW w:w="76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Per Share</w:t>
            </w:r>
          </w:p>
        </w:tc>
        <w:tc>
          <w:tcPr>
            <w:tcW w:w="0" w:type="dxa"/>
            <w:vAlign w:val="bottom"/>
          </w:tcPr>
          <w:p>
            <w:pPr>
              <w:spacing w:after="0"/>
              <w:rPr>
                <w:sz w:val="1"/>
                <w:szCs w:val="1"/>
                <w:color w:val="auto"/>
              </w:rPr>
            </w:pPr>
          </w:p>
        </w:tc>
      </w:tr>
      <w:tr>
        <w:trPr>
          <w:trHeight w:val="145"/>
        </w:trPr>
        <w:tc>
          <w:tcPr>
            <w:tcW w:w="232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Net income and diluted earnings</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101,152</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82,807</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2.33</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302,321</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226,203</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6.89</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vMerge w:val="restart"/>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rPr>
              <w:t>5.07</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per share, as reported</w:t>
            </w:r>
          </w:p>
        </w:tc>
        <w:tc>
          <w:tcPr>
            <w:tcW w:w="12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net of tax:</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2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Merger and acquisition</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2,837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0.07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8,254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0.19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rPr>
              <w:t>0.25</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expenses</w:t>
            </w: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Amortization of acquired</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11,423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10,613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0.26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34,531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29,129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0.79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center"/>
              <w:ind w:left="259"/>
              <w:spacing w:after="0"/>
              <w:rPr>
                <w:sz w:val="20"/>
                <w:szCs w:val="20"/>
                <w:color w:val="auto"/>
              </w:rPr>
            </w:pPr>
            <w:r>
              <w:rPr>
                <w:rFonts w:ascii="Times New Roman" w:cs="Times New Roman" w:eastAsia="Times New Roman" w:hAnsi="Times New Roman"/>
                <w:sz w:val="16"/>
                <w:szCs w:val="16"/>
                <w:color w:val="auto"/>
              </w:rPr>
              <w:t>0.65</w:t>
            </w:r>
          </w:p>
        </w:tc>
        <w:tc>
          <w:tcPr>
            <w:tcW w:w="0" w:type="dxa"/>
            <w:vAlign w:val="bottom"/>
          </w:tcPr>
          <w:p>
            <w:pPr>
              <w:spacing w:after="0"/>
              <w:rPr>
                <w:sz w:val="1"/>
                <w:szCs w:val="1"/>
                <w:color w:val="auto"/>
              </w:rPr>
            </w:pPr>
          </w:p>
        </w:tc>
      </w:tr>
      <w:tr>
        <w:trPr>
          <w:trHeight w:val="213"/>
        </w:trPr>
        <w:tc>
          <w:tcPr>
            <w:tcW w:w="2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intangible assets</w:t>
            </w: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CFPB litigation settlement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rPr>
              <w:t>0.21</w:t>
            </w:r>
          </w:p>
        </w:tc>
        <w:tc>
          <w:tcPr>
            <w:tcW w:w="0" w:type="dxa"/>
            <w:vAlign w:val="bottom"/>
          </w:tcPr>
          <w:p>
            <w:pPr>
              <w:spacing w:after="0"/>
              <w:rPr>
                <w:sz w:val="1"/>
                <w:szCs w:val="1"/>
                <w:color w:val="auto"/>
              </w:rPr>
            </w:pPr>
          </w:p>
        </w:tc>
      </w:tr>
      <w:tr>
        <w:trPr>
          <w:trHeight w:val="214"/>
        </w:trPr>
        <w:tc>
          <w:tcPr>
            <w:tcW w:w="2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76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144"/>
        </w:trPr>
        <w:tc>
          <w:tcPr>
            <w:tcW w:w="2320" w:type="dxa"/>
            <w:vAlign w:val="bottom"/>
            <w:tcBorders>
              <w:top w:val="single" w:sz="8" w:color="CCEEFF"/>
            </w:tcBorders>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Adjusted net income and diluted</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116,181</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100,633</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2.68</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345,343</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273,032</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7.87</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vMerge w:val="restart"/>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rPr>
              <w:t>6.12</w:t>
            </w:r>
          </w:p>
        </w:tc>
        <w:tc>
          <w:tcPr>
            <w:tcW w:w="0" w:type="dxa"/>
            <w:vAlign w:val="bottom"/>
          </w:tcPr>
          <w:p>
            <w:pPr>
              <w:spacing w:after="0"/>
              <w:rPr>
                <w:sz w:val="1"/>
                <w:szCs w:val="1"/>
                <w:color w:val="auto"/>
              </w:rPr>
            </w:pPr>
          </w:p>
        </w:tc>
      </w:tr>
      <w:tr>
        <w:trPr>
          <w:trHeight w:val="209"/>
        </w:trPr>
        <w:tc>
          <w:tcPr>
            <w:tcW w:w="2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earnings per share</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Before Interest, Taxes, Depreciation and Amortization (EBITDA) and Adjusted EBITDA</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defines EBITDA as net income before income taxes, depreciation and amortization, interest expense and interest income and adjusted EBITDA as EBITDA adjusted for certain items, as listed below, that management considers to be non-operating in nature and not representative of its actual operating performance. The Company believes EBITDA and adjusted EBITDA are commonly used by investors to assess a company’s financial performance, and adjusted EBITDA is used as a starting point in the calculation of the consolidated total debt ratio as defined in the Company’s senior unsecured notes. The following table provides a reconciliation of net income to EBITDA and adjusted EBITDA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3"/>
          </w:tcPr>
          <w:p>
            <w:pPr>
              <w:jc w:val="center"/>
              <w:ind w:left="359"/>
              <w:spacing w:after="0"/>
              <w:rPr>
                <w:sz w:val="20"/>
                <w:szCs w:val="20"/>
                <w:color w:val="auto"/>
              </w:rPr>
            </w:pPr>
            <w:r>
              <w:rPr>
                <w:rFonts w:ascii="Times New Roman" w:cs="Times New Roman" w:eastAsia="Times New Roman" w:hAnsi="Times New Roman"/>
                <w:sz w:val="16"/>
                <w:szCs w:val="16"/>
                <w:color w:val="auto"/>
              </w:rPr>
              <w:t>Trailing Twelve</w:t>
            </w:r>
          </w:p>
        </w:tc>
        <w:tc>
          <w:tcPr>
            <w:tcW w:w="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0" w:type="dxa"/>
            <w:vAlign w:val="bottom"/>
            <w:gridSpan w:val="5"/>
          </w:tcPr>
          <w:p>
            <w:pPr>
              <w:ind w:left="260"/>
              <w:spacing w:after="0"/>
              <w:rPr>
                <w:sz w:val="20"/>
                <w:szCs w:val="20"/>
                <w:color w:val="auto"/>
              </w:rPr>
            </w:pPr>
            <w:r>
              <w:rPr>
                <w:rFonts w:ascii="Times New Roman" w:cs="Times New Roman" w:eastAsia="Times New Roman" w:hAnsi="Times New Roman"/>
                <w:sz w:val="16"/>
                <w:szCs w:val="16"/>
                <w:color w:val="auto"/>
              </w:rPr>
              <w:t>Three Months Ended</w:t>
            </w:r>
          </w:p>
        </w:tc>
        <w:tc>
          <w:tcPr>
            <w:tcW w:w="400" w:type="dxa"/>
            <w:vAlign w:val="bottom"/>
          </w:tcPr>
          <w:p>
            <w:pPr>
              <w:spacing w:after="0"/>
              <w:rPr>
                <w:sz w:val="18"/>
                <w:szCs w:val="18"/>
                <w:color w:val="auto"/>
              </w:rPr>
            </w:pPr>
          </w:p>
        </w:tc>
        <w:tc>
          <w:tcPr>
            <w:tcW w:w="2440" w:type="dxa"/>
            <w:vAlign w:val="bottom"/>
            <w:gridSpan w:val="5"/>
          </w:tcPr>
          <w:p>
            <w:pPr>
              <w:ind w:left="300"/>
              <w:spacing w:after="0"/>
              <w:rPr>
                <w:sz w:val="20"/>
                <w:szCs w:val="20"/>
                <w:color w:val="auto"/>
              </w:rPr>
            </w:pPr>
            <w:r>
              <w:rPr>
                <w:rFonts w:ascii="Times New Roman" w:cs="Times New Roman" w:eastAsia="Times New Roman" w:hAnsi="Times New Roman"/>
                <w:sz w:val="16"/>
                <w:szCs w:val="16"/>
                <w:color w:val="auto"/>
              </w:rPr>
              <w:t>Nine Months Ended</w:t>
            </w:r>
          </w:p>
        </w:tc>
        <w:tc>
          <w:tcPr>
            <w:tcW w:w="400" w:type="dxa"/>
            <w:vAlign w:val="bottom"/>
          </w:tcPr>
          <w:p>
            <w:pPr>
              <w:spacing w:after="0"/>
              <w:rPr>
                <w:sz w:val="18"/>
                <w:szCs w:val="18"/>
                <w:color w:val="auto"/>
              </w:rPr>
            </w:pPr>
          </w:p>
        </w:tc>
        <w:tc>
          <w:tcPr>
            <w:tcW w:w="1480" w:type="dxa"/>
            <w:vAlign w:val="bottom"/>
            <w:gridSpan w:val="3"/>
          </w:tcPr>
          <w:p>
            <w:pPr>
              <w:jc w:val="center"/>
              <w:ind w:left="359"/>
              <w:spacing w:after="0"/>
              <w:rPr>
                <w:sz w:val="20"/>
                <w:szCs w:val="20"/>
                <w:color w:val="auto"/>
              </w:rPr>
            </w:pPr>
            <w:r>
              <w:rPr>
                <w:rFonts w:ascii="Times New Roman" w:cs="Times New Roman" w:eastAsia="Times New Roman" w:hAnsi="Times New Roman"/>
                <w:sz w:val="16"/>
                <w:szCs w:val="16"/>
                <w:color w:val="auto"/>
              </w:rPr>
              <w:t>Months Ended</w:t>
            </w:r>
          </w:p>
        </w:tc>
        <w:tc>
          <w:tcPr>
            <w:tcW w:w="840" w:type="dxa"/>
            <w:vAlign w:val="bottom"/>
          </w:tcPr>
          <w:p>
            <w:pPr>
              <w:spacing w:after="0"/>
              <w:rPr>
                <w:sz w:val="18"/>
                <w:szCs w:val="18"/>
                <w:color w:val="auto"/>
              </w:rPr>
            </w:pPr>
          </w:p>
        </w:tc>
      </w:tr>
      <w:tr>
        <w:trPr>
          <w:trHeight w:val="219"/>
        </w:trPr>
        <w:tc>
          <w:tcPr>
            <w:tcW w:w="28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September 30,</w:t>
            </w:r>
          </w:p>
        </w:tc>
        <w:tc>
          <w:tcPr>
            <w:tcW w:w="8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September 30,</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ind w:left="339"/>
              <w:spacing w:after="0"/>
              <w:rPr>
                <w:sz w:val="20"/>
                <w:szCs w:val="20"/>
                <w:color w:val="auto"/>
              </w:rPr>
            </w:pPr>
            <w:r>
              <w:rPr>
                <w:rFonts w:ascii="Times New Roman" w:cs="Times New Roman" w:eastAsia="Times New Roman" w:hAnsi="Times New Roman"/>
                <w:sz w:val="16"/>
                <w:szCs w:val="16"/>
                <w:color w:val="auto"/>
              </w:rPr>
              <w:t>September 30,</w:t>
            </w:r>
          </w:p>
        </w:tc>
        <w:tc>
          <w:tcPr>
            <w:tcW w:w="840" w:type="dxa"/>
            <w:vAlign w:val="bottom"/>
            <w:tcBorders>
              <w:bottom w:val="single" w:sz="8" w:color="auto"/>
            </w:tcBorders>
          </w:tcPr>
          <w:p>
            <w:pPr>
              <w:spacing w:after="0"/>
              <w:rPr>
                <w:sz w:val="19"/>
                <w:szCs w:val="19"/>
                <w:color w:val="auto"/>
              </w:rPr>
            </w:pPr>
          </w:p>
        </w:tc>
      </w:tr>
      <w:tr>
        <w:trPr>
          <w:trHeight w:val="211"/>
        </w:trPr>
        <w:tc>
          <w:tcPr>
            <w:tcW w:w="28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2025</w:t>
            </w:r>
          </w:p>
        </w:tc>
      </w:tr>
      <w:tr>
        <w:trPr>
          <w:trHeight w:val="21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101,152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82,807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302,321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226,203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406,493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309,750</w:t>
            </w:r>
          </w:p>
        </w:tc>
      </w:tr>
      <w:tr>
        <w:trPr>
          <w:trHeight w:val="214"/>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taxes</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37,515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29,672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108,476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78,572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147,092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104,558</w:t>
            </w:r>
          </w:p>
        </w:tc>
      </w:tr>
      <w:tr>
        <w:trPr>
          <w:trHeight w:val="218"/>
        </w:trPr>
        <w:tc>
          <w:tcPr>
            <w:tcW w:w="2880" w:type="dxa"/>
            <w:vAlign w:val="bottom"/>
            <w:shd w:val="clear" w:color="auto" w:fill="CCEEFF"/>
          </w:tcPr>
          <w:p>
            <w:pPr>
              <w:ind w:left="180"/>
              <w:spacing w:after="0" w:line="218" w:lineRule="exact"/>
              <w:rPr>
                <w:sz w:val="20"/>
                <w:szCs w:val="20"/>
                <w:color w:val="auto"/>
              </w:rPr>
            </w:pPr>
            <w:r>
              <w:rPr>
                <w:rFonts w:ascii="Times New Roman" w:cs="Times New Roman" w:eastAsia="Times New Roman" w:hAnsi="Times New Roman"/>
                <w:sz w:val="16"/>
                <w:szCs w:val="16"/>
                <w:color w:val="auto"/>
              </w:rPr>
              <w:t xml:space="preserve">Depreciation and amortization </w:t>
            </w:r>
            <w:r>
              <w:rPr>
                <w:rFonts w:ascii="Times New Roman" w:cs="Times New Roman" w:eastAsia="Times New Roman" w:hAnsi="Times New Roman"/>
                <w:sz w:val="21"/>
                <w:szCs w:val="21"/>
                <w:color w:val="auto"/>
                <w:vertAlign w:val="superscript"/>
              </w:rPr>
              <w:t>(1)</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32,283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29,034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96,239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80,400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127,645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106,834</w:t>
            </w:r>
          </w:p>
        </w:tc>
      </w:tr>
      <w:tr>
        <w:trPr>
          <w:trHeight w:val="214"/>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37,678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32,216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107,908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86,024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143,177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113,221</w:t>
            </w:r>
          </w:p>
        </w:tc>
      </w:tr>
      <w:tr>
        <w:trPr>
          <w:trHeight w:val="218"/>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(434)</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(1,078)</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(2,664)</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(1,349)</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(3,192)</w:t>
            </w:r>
          </w:p>
        </w:tc>
      </w:tr>
      <w:tr>
        <w:trPr>
          <w:trHeight w:val="208"/>
        </w:trPr>
        <w:tc>
          <w:tcPr>
            <w:tcW w:w="2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EBITDA</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208,194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172,821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613,866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468,535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823,058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631,171</w:t>
            </w:r>
          </w:p>
        </w:tc>
      </w:tr>
      <w:tr>
        <w:trPr>
          <w:trHeight w:val="218"/>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4"/>
        </w:trPr>
        <w:tc>
          <w:tcPr>
            <w:tcW w:w="2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Merger and acquisition expenses</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3,760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10,983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12,641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12,753</w:t>
            </w:r>
          </w:p>
        </w:tc>
      </w:tr>
      <w:tr>
        <w:trPr>
          <w:trHeight w:val="218"/>
        </w:trPr>
        <w:tc>
          <w:tcPr>
            <w:tcW w:w="2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CFPB litigation settlement</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w:t>
            </w:r>
          </w:p>
        </w:tc>
      </w:tr>
      <w:tr>
        <w:trPr>
          <w:trHeight w:val="214"/>
        </w:trPr>
        <w:tc>
          <w:tcPr>
            <w:tcW w:w="2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expense (income), net</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1,054</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(1,739)</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221</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(803)</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w:t>
            </w:r>
          </w:p>
        </w:tc>
      </w:tr>
      <w:tr>
        <w:trPr>
          <w:trHeight w:val="236"/>
        </w:trPr>
        <w:tc>
          <w:tcPr>
            <w:tcW w:w="28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Adjusted EBITDA</w:t>
            </w:r>
          </w:p>
        </w:tc>
        <w:tc>
          <w:tcPr>
            <w:tcW w:w="4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213,008</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180,554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625,070</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488,563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834,896</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654,248</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left="340" w:hanging="332"/>
        <w:spacing w:after="0" w:line="237" w:lineRule="auto"/>
        <w:tabs>
          <w:tab w:leader="none" w:pos="328"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$14.9 million, $45.1 million and $60.7 million of amortization expense related to identifiable intangible assets for the three months, nine months and trailing twelve months ended September 30, 2026, respectively. Includes $13.8 million, $37.9 million and $50.3 million of amortization expense related to identifiable intangible assets for the three months, nine months and trailing twelve months ended September 30, 2025, respectively.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52" w:name="page53"/>
    <w:bookmarkEnd w:id="52"/>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Free Cash Flow and Adjusted Free Cash Flow</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purposes of its internal liquidity assessments, the Company considers free cash flow and adjusted free cash flow. The Company defines free cash flow as cash flow from operating activities less purchases of furniture, fixtures, equipment and improvements and net fundings/repayments of pawn loan and finance receivables, which are considered to be operating in nature by the Company but are included in cash flow from investing activities. Adjusted free cash flow is defined as free cash flow adjusted for merger and acquisition expenses paid that management considers to be non-operating in nature.</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Free cash flow and adjusted free cash flow are commonly used by investors as additional measures of cash generated by business operations that may be used to repay scheduled debt maturities and debt service or, following payment of such debt obligations and other non-discretionary items, that may be available to invest in future growth through new business development activities or acquisitions, repurchase stock, pay cash dividends or repay debt obligations prior to their maturities. These metrics can also be used to evaluate the Company’s ability to generate cash flow from business operations and the impact that this cash flow has on the Company’s liquidity. However, free cash flow and adjusted free cash flow have limitations as analytical tools and should not be considered in isolation or as a substitute for cash flow from operating activities or other income statement data prepared in accordance with GAAP. The following table reconciles cash flow from operating activities to free cash flow and adjusted free cash flow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4"/>
          </w:tcPr>
          <w:p>
            <w:pPr>
              <w:jc w:val="right"/>
              <w:ind w:right="659"/>
              <w:spacing w:after="0"/>
              <w:rPr>
                <w:sz w:val="20"/>
                <w:szCs w:val="20"/>
                <w:color w:val="auto"/>
              </w:rPr>
            </w:pPr>
            <w:r>
              <w:rPr>
                <w:rFonts w:ascii="Times New Roman" w:cs="Times New Roman" w:eastAsia="Times New Roman" w:hAnsi="Times New Roman"/>
                <w:sz w:val="16"/>
                <w:szCs w:val="16"/>
                <w:color w:val="auto"/>
              </w:rPr>
              <w:t>Trailing Twelve</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5"/>
          </w:tcPr>
          <w:p>
            <w:pPr>
              <w:ind w:left="280"/>
              <w:spacing w:after="0"/>
              <w:rPr>
                <w:sz w:val="20"/>
                <w:szCs w:val="20"/>
                <w:color w:val="auto"/>
              </w:rPr>
            </w:pPr>
            <w:r>
              <w:rPr>
                <w:rFonts w:ascii="Times New Roman" w:cs="Times New Roman" w:eastAsia="Times New Roman" w:hAnsi="Times New Roman"/>
                <w:sz w:val="16"/>
                <w:szCs w:val="16"/>
                <w:color w:val="auto"/>
              </w:rPr>
              <w:t>Three Months Ended</w:t>
            </w:r>
          </w:p>
        </w:tc>
        <w:tc>
          <w:tcPr>
            <w:tcW w:w="260" w:type="dxa"/>
            <w:vAlign w:val="bottom"/>
          </w:tcPr>
          <w:p>
            <w:pPr>
              <w:spacing w:after="0"/>
              <w:rPr>
                <w:sz w:val="18"/>
                <w:szCs w:val="18"/>
                <w:color w:val="auto"/>
              </w:rPr>
            </w:pPr>
          </w:p>
        </w:tc>
        <w:tc>
          <w:tcPr>
            <w:tcW w:w="234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Nine Months Ended</w:t>
            </w:r>
          </w:p>
        </w:tc>
        <w:tc>
          <w:tcPr>
            <w:tcW w:w="260" w:type="dxa"/>
            <w:vAlign w:val="bottom"/>
          </w:tcPr>
          <w:p>
            <w:pPr>
              <w:spacing w:after="0"/>
              <w:rPr>
                <w:sz w:val="18"/>
                <w:szCs w:val="18"/>
                <w:color w:val="auto"/>
              </w:rPr>
            </w:pPr>
          </w:p>
        </w:tc>
        <w:tc>
          <w:tcPr>
            <w:tcW w:w="2260" w:type="dxa"/>
            <w:vAlign w:val="bottom"/>
            <w:gridSpan w:val="4"/>
          </w:tcPr>
          <w:p>
            <w:pPr>
              <w:jc w:val="right"/>
              <w:ind w:right="699"/>
              <w:spacing w:after="0"/>
              <w:rPr>
                <w:sz w:val="20"/>
                <w:szCs w:val="20"/>
                <w:color w:val="auto"/>
              </w:rPr>
            </w:pPr>
            <w:r>
              <w:rPr>
                <w:rFonts w:ascii="Times New Roman" w:cs="Times New Roman" w:eastAsia="Times New Roman" w:hAnsi="Times New Roman"/>
                <w:sz w:val="16"/>
                <w:szCs w:val="16"/>
                <w:color w:val="auto"/>
              </w:rPr>
              <w:t>Months Ended</w:t>
            </w:r>
          </w:p>
        </w:tc>
        <w:tc>
          <w:tcPr>
            <w:tcW w:w="0" w:type="dxa"/>
            <w:vAlign w:val="bottom"/>
          </w:tcPr>
          <w:p>
            <w:pPr>
              <w:spacing w:after="0"/>
              <w:rPr>
                <w:sz w:val="1"/>
                <w:szCs w:val="1"/>
                <w:color w:val="auto"/>
              </w:rPr>
            </w:pPr>
          </w:p>
        </w:tc>
      </w:tr>
      <w:tr>
        <w:trPr>
          <w:trHeight w:val="219"/>
        </w:trPr>
        <w:tc>
          <w:tcPr>
            <w:tcW w:w="3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September 30,</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September 30,</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September 30,</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5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3"/>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2025</w:t>
            </w:r>
          </w:p>
        </w:tc>
        <w:tc>
          <w:tcPr>
            <w:tcW w:w="0" w:type="dxa"/>
            <w:vAlign w:val="bottom"/>
          </w:tcPr>
          <w:p>
            <w:pPr>
              <w:spacing w:after="0"/>
              <w:rPr>
                <w:sz w:val="1"/>
                <w:szCs w:val="1"/>
                <w:color w:val="auto"/>
              </w:rPr>
            </w:pPr>
          </w:p>
        </w:tc>
      </w:tr>
      <w:tr>
        <w:trPr>
          <w:trHeight w:val="211"/>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from operating activities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141,988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472,393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379,297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679,038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577,446</w:t>
            </w:r>
          </w:p>
        </w:tc>
        <w:tc>
          <w:tcPr>
            <w:tcW w:w="0" w:type="dxa"/>
            <w:vAlign w:val="bottom"/>
          </w:tcPr>
          <w:p>
            <w:pPr>
              <w:spacing w:after="0"/>
              <w:rPr>
                <w:sz w:val="1"/>
                <w:szCs w:val="1"/>
                <w:color w:val="auto"/>
              </w:rPr>
            </w:pPr>
          </w:p>
        </w:tc>
      </w:tr>
      <w:tr>
        <w:trPr>
          <w:trHeight w:val="213"/>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 from certain investing activities: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Pawn loans made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(666,476)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(523,115)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(1,995,764)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(1,416,821)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(2,673,171)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(1,851,035)</w:t>
            </w:r>
          </w:p>
        </w:tc>
        <w:tc>
          <w:tcPr>
            <w:tcW w:w="0" w:type="dxa"/>
            <w:vAlign w:val="bottom"/>
          </w:tcPr>
          <w:p>
            <w:pPr>
              <w:spacing w:after="0"/>
              <w:rPr>
                <w:sz w:val="1"/>
                <w:szCs w:val="1"/>
                <w:color w:val="auto"/>
              </w:rPr>
            </w:pPr>
          </w:p>
        </w:tc>
      </w:tr>
      <w:tr>
        <w:trPr>
          <w:trHeight w:val="214"/>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Pawn loans repaid</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366,958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1,143,076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800,966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1,539,148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1,055,542</w:t>
            </w:r>
          </w:p>
        </w:tc>
        <w:tc>
          <w:tcPr>
            <w:tcW w:w="0" w:type="dxa"/>
            <w:vAlign w:val="bottom"/>
          </w:tcPr>
          <w:p>
            <w:pPr>
              <w:spacing w:after="0"/>
              <w:rPr>
                <w:sz w:val="1"/>
                <w:szCs w:val="1"/>
                <w:color w:val="auto"/>
              </w:rPr>
            </w:pPr>
          </w:p>
        </w:tc>
      </w:tr>
      <w:tr>
        <w:trPr>
          <w:trHeight w:val="164"/>
        </w:trPr>
        <w:tc>
          <w:tcPr>
            <w:tcW w:w="3540" w:type="dxa"/>
            <w:vAlign w:val="bottom"/>
            <w:shd w:val="clear" w:color="auto" w:fill="CCEEFF"/>
          </w:tcPr>
          <w:p>
            <w:pPr>
              <w:ind w:left="180"/>
              <w:spacing w:after="0" w:line="164" w:lineRule="exact"/>
              <w:rPr>
                <w:sz w:val="20"/>
                <w:szCs w:val="20"/>
                <w:color w:val="auto"/>
              </w:rPr>
            </w:pPr>
            <w:r>
              <w:rPr>
                <w:rFonts w:ascii="Times New Roman" w:cs="Times New Roman" w:eastAsia="Times New Roman" w:hAnsi="Times New Roman"/>
                <w:sz w:val="16"/>
                <w:szCs w:val="16"/>
                <w:color w:val="auto"/>
              </w:rPr>
              <w:t>Recovery of pawn loan principal through sale of</w:t>
            </w:r>
          </w:p>
        </w:tc>
        <w:tc>
          <w:tcPr>
            <w:tcW w:w="2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306,785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185,106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711,909</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517,122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954,120</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694,484</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forfeited collateral</w:t>
            </w:r>
          </w:p>
        </w:tc>
        <w:tc>
          <w:tcPr>
            <w:tcW w:w="2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Investments in finance receivables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(87,180)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(283,490)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(338,295)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(385,771)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(473,397)</w:t>
            </w:r>
          </w:p>
        </w:tc>
        <w:tc>
          <w:tcPr>
            <w:tcW w:w="0" w:type="dxa"/>
            <w:vAlign w:val="bottom"/>
          </w:tcPr>
          <w:p>
            <w:pPr>
              <w:spacing w:after="0"/>
              <w:rPr>
                <w:sz w:val="1"/>
                <w:szCs w:val="1"/>
                <w:color w:val="auto"/>
              </w:rPr>
            </w:pPr>
          </w:p>
        </w:tc>
      </w:tr>
      <w:tr>
        <w:trPr>
          <w:trHeight w:val="218"/>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finance receivables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82,491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264,339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263,139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343,472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345,113</w:t>
            </w:r>
          </w:p>
        </w:tc>
        <w:tc>
          <w:tcPr>
            <w:tcW w:w="0" w:type="dxa"/>
            <w:vAlign w:val="bottom"/>
          </w:tcPr>
          <w:p>
            <w:pPr>
              <w:spacing w:after="0"/>
              <w:rPr>
                <w:sz w:val="1"/>
                <w:szCs w:val="1"/>
                <w:color w:val="auto"/>
              </w:rPr>
            </w:pPr>
          </w:p>
        </w:tc>
      </w:tr>
      <w:tr>
        <w:trPr>
          <w:trHeight w:val="162"/>
        </w:trPr>
        <w:tc>
          <w:tcPr>
            <w:tcW w:w="35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Purchases of furniture, fixtures, equipment and</w:t>
            </w: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(18,090)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(11,553)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(55,954)</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(37,419)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(73,441)</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(49,632)</w:t>
            </w:r>
          </w:p>
        </w:tc>
        <w:tc>
          <w:tcPr>
            <w:tcW w:w="0" w:type="dxa"/>
            <w:vAlign w:val="bottom"/>
          </w:tcPr>
          <w:p>
            <w:pPr>
              <w:spacing w:after="0"/>
              <w:rPr>
                <w:sz w:val="1"/>
                <w:szCs w:val="1"/>
                <w:color w:val="auto"/>
              </w:rPr>
            </w:pPr>
          </w:p>
        </w:tc>
      </w:tr>
      <w:tr>
        <w:trPr>
          <w:trHeight w:val="213"/>
        </w:trPr>
        <w:tc>
          <w:tcPr>
            <w:tcW w:w="35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improvements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Free cash flow</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126,476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256,509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383,395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298,521</w:t>
            </w:r>
          </w:p>
        </w:tc>
        <w:tc>
          <w:tcPr>
            <w:tcW w:w="0" w:type="dxa"/>
            <w:vAlign w:val="bottom"/>
          </w:tcPr>
          <w:p>
            <w:pPr>
              <w:spacing w:after="0"/>
              <w:rPr>
                <w:sz w:val="1"/>
                <w:szCs w:val="1"/>
                <w:color w:val="auto"/>
              </w:rPr>
            </w:pPr>
          </w:p>
        </w:tc>
      </w:tr>
      <w:tr>
        <w:trPr>
          <w:trHeight w:val="162"/>
        </w:trPr>
        <w:tc>
          <w:tcPr>
            <w:tcW w:w="35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Merger and acquisition expenses paid, net of tax</w:t>
            </w: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2,837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8,513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8,254</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11,001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9,524</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11,032</w:t>
            </w:r>
          </w:p>
        </w:tc>
        <w:tc>
          <w:tcPr>
            <w:tcW w:w="0" w:type="dxa"/>
            <w:vAlign w:val="bottom"/>
          </w:tcPr>
          <w:p>
            <w:pPr>
              <w:spacing w:after="0"/>
              <w:rPr>
                <w:sz w:val="1"/>
                <w:szCs w:val="1"/>
                <w:color w:val="auto"/>
              </w:rPr>
            </w:pPr>
          </w:p>
        </w:tc>
      </w:tr>
      <w:tr>
        <w:trPr>
          <w:trHeight w:val="213"/>
        </w:trPr>
        <w:tc>
          <w:tcPr>
            <w:tcW w:w="35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benefit</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free cash flow</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129,313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45,443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264,763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178,990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392,919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309,553</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Constant Currency Results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reporting currency is the U.S. dollar, however, certain performance metrics discussed in this report are presented on a “constant currency” basis, which is considered a non-GAAP financial measure. The Company’s management uses constant currency results to evaluate operating results of business operations in Latin America and the U.K., which are transacted in local currencies in Mexico, Guatemala, Colombia and the U.K. The Company also has operations in El Salvador, where the reporting and functional currency is the U.S. dollar.</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believes constant currency results provide valuable supplemental information regarding the underlying performance of its business operations in Latin America and the U.K., consistent with how the Company’s management evaluates such performance and operating results. Constant currency results reported herein are calculated by translating certain balance sheet and income statement items denominated in local currencies using the exchange rate from the prior-year comparable period, as opposed to the current comparable period, in order to exclude the effects of foreign currency rate fluctuations for purposes of evaluating period-over-period comparisons.</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53" w:name="page54"/>
    <w:bookmarkEnd w:id="53"/>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operating results for the Latin America pawn segment using the exchange rate from the prior-year comparable periods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60" w:type="dxa"/>
            <w:vAlign w:val="bottom"/>
            <w:gridSpan w:val="8"/>
          </w:tcPr>
          <w:p>
            <w:pPr>
              <w:ind w:left="340"/>
              <w:spacing w:after="0"/>
              <w:rPr>
                <w:sz w:val="20"/>
                <w:szCs w:val="20"/>
                <w:color w:val="auto"/>
              </w:rPr>
            </w:pPr>
            <w:r>
              <w:rPr>
                <w:rFonts w:ascii="Times New Roman" w:cs="Times New Roman" w:eastAsia="Times New Roman" w:hAnsi="Times New Roman"/>
                <w:sz w:val="16"/>
                <w:szCs w:val="16"/>
                <w:color w:val="auto"/>
              </w:rPr>
              <w:t>Three Months Ended September 30, 2026</w:t>
            </w:r>
          </w:p>
        </w:tc>
        <w:tc>
          <w:tcPr>
            <w:tcW w:w="240" w:type="dxa"/>
            <w:vAlign w:val="bottom"/>
          </w:tcPr>
          <w:p>
            <w:pPr>
              <w:spacing w:after="0"/>
              <w:rPr>
                <w:sz w:val="18"/>
                <w:szCs w:val="18"/>
                <w:color w:val="auto"/>
              </w:rPr>
            </w:pPr>
          </w:p>
        </w:tc>
        <w:tc>
          <w:tcPr>
            <w:tcW w:w="3640" w:type="dxa"/>
            <w:vAlign w:val="bottom"/>
            <w:gridSpan w:val="7"/>
          </w:tcPr>
          <w:p>
            <w:pPr>
              <w:jc w:val="right"/>
              <w:ind w:right="539"/>
              <w:spacing w:after="0"/>
              <w:rPr>
                <w:sz w:val="20"/>
                <w:szCs w:val="20"/>
                <w:color w:val="auto"/>
              </w:rPr>
            </w:pPr>
            <w:r>
              <w:rPr>
                <w:rFonts w:ascii="Times New Roman" w:cs="Times New Roman" w:eastAsia="Times New Roman" w:hAnsi="Times New Roman"/>
                <w:sz w:val="16"/>
                <w:szCs w:val="16"/>
                <w:color w:val="auto"/>
              </w:rPr>
              <w:t>Nine Months Ended September 30, 2026</w:t>
            </w:r>
          </w:p>
        </w:tc>
      </w:tr>
      <w:tr>
        <w:trPr>
          <w:trHeight w:val="207"/>
        </w:trPr>
        <w:tc>
          <w:tcPr>
            <w:tcW w:w="31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Currency</w:t>
            </w: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Constant</w:t>
            </w:r>
          </w:p>
        </w:tc>
        <w:tc>
          <w:tcPr>
            <w:tcW w:w="3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Currency</w:t>
            </w: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Constant</w:t>
            </w:r>
          </w:p>
        </w:tc>
      </w:tr>
      <w:tr>
        <w:trPr>
          <w:trHeight w:val="216"/>
        </w:trPr>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U.S.</w:t>
            </w: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Exchange</w:t>
            </w:r>
          </w:p>
        </w:tc>
        <w:tc>
          <w:tcPr>
            <w:tcW w:w="160" w:type="dxa"/>
            <w:vAlign w:val="bottom"/>
          </w:tcPr>
          <w:p>
            <w:pPr>
              <w:spacing w:after="0"/>
              <w:rPr>
                <w:sz w:val="18"/>
                <w:szCs w:val="18"/>
                <w:color w:val="auto"/>
              </w:rPr>
            </w:pPr>
          </w:p>
        </w:tc>
        <w:tc>
          <w:tcPr>
            <w:tcW w:w="148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color w:val="auto"/>
              </w:rPr>
              <w:t>Currency</w:t>
            </w:r>
          </w:p>
        </w:tc>
        <w:tc>
          <w:tcPr>
            <w:tcW w:w="24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U.S.</w:t>
            </w: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Exchange</w:t>
            </w:r>
          </w:p>
        </w:tc>
        <w:tc>
          <w:tcPr>
            <w:tcW w:w="140" w:type="dxa"/>
            <w:vAlign w:val="bottom"/>
          </w:tcPr>
          <w:p>
            <w:pPr>
              <w:spacing w:after="0"/>
              <w:rPr>
                <w:sz w:val="18"/>
                <w:szCs w:val="18"/>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Currency</w:t>
            </w:r>
          </w:p>
        </w:tc>
      </w:tr>
      <w:tr>
        <w:trPr>
          <w:trHeight w:val="216"/>
        </w:trPr>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Dollar</w:t>
            </w: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Rate</w:t>
            </w:r>
          </w:p>
        </w:tc>
        <w:tc>
          <w:tcPr>
            <w:tcW w:w="160" w:type="dxa"/>
            <w:vAlign w:val="bottom"/>
          </w:tcPr>
          <w:p>
            <w:pPr>
              <w:spacing w:after="0"/>
              <w:rPr>
                <w:sz w:val="18"/>
                <w:szCs w:val="18"/>
                <w:color w:val="auto"/>
              </w:rPr>
            </w:pPr>
          </w:p>
        </w:tc>
        <w:tc>
          <w:tcPr>
            <w:tcW w:w="148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color w:val="auto"/>
                <w:w w:val="97"/>
              </w:rPr>
              <w:t>Basis</w:t>
            </w:r>
          </w:p>
        </w:tc>
        <w:tc>
          <w:tcPr>
            <w:tcW w:w="24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Dollar</w:t>
            </w: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Rate</w:t>
            </w:r>
          </w:p>
        </w:tc>
        <w:tc>
          <w:tcPr>
            <w:tcW w:w="140" w:type="dxa"/>
            <w:vAlign w:val="bottom"/>
          </w:tcPr>
          <w:p>
            <w:pPr>
              <w:spacing w:after="0"/>
              <w:rPr>
                <w:sz w:val="18"/>
                <w:szCs w:val="18"/>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Basis</w:t>
            </w:r>
          </w:p>
        </w:tc>
      </w:tr>
      <w:tr>
        <w:trPr>
          <w:trHeight w:val="219"/>
        </w:trPr>
        <w:tc>
          <w:tcPr>
            <w:tcW w:w="3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7"/>
              </w:rPr>
              <w:t>Basis</w:t>
            </w: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Fluctuations</w:t>
            </w:r>
          </w:p>
        </w:tc>
        <w:tc>
          <w:tcPr>
            <w:tcW w:w="160" w:type="dxa"/>
            <w:vAlign w:val="bottom"/>
          </w:tcPr>
          <w:p>
            <w:pPr>
              <w:spacing w:after="0"/>
              <w:rPr>
                <w:sz w:val="19"/>
                <w:szCs w:val="19"/>
                <w:color w:val="auto"/>
              </w:rPr>
            </w:pPr>
          </w:p>
        </w:tc>
        <w:tc>
          <w:tcPr>
            <w:tcW w:w="148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color w:val="auto"/>
              </w:rPr>
              <w:t>(Non-GAAP)</w:t>
            </w:r>
          </w:p>
        </w:tc>
        <w:tc>
          <w:tcPr>
            <w:tcW w:w="240" w:type="dxa"/>
            <w:vAlign w:val="bottom"/>
          </w:tcPr>
          <w:p>
            <w:pPr>
              <w:spacing w:after="0"/>
              <w:rPr>
                <w:sz w:val="19"/>
                <w:szCs w:val="19"/>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7"/>
              </w:rPr>
              <w:t>Basis</w:t>
            </w:r>
          </w:p>
        </w:tc>
        <w:tc>
          <w:tcPr>
            <w:tcW w:w="140" w:type="dxa"/>
            <w:vAlign w:val="bottom"/>
          </w:tcPr>
          <w:p>
            <w:pPr>
              <w:spacing w:after="0"/>
              <w:rPr>
                <w:sz w:val="19"/>
                <w:szCs w:val="19"/>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Fluctuations</w:t>
            </w:r>
          </w:p>
        </w:tc>
        <w:tc>
          <w:tcPr>
            <w:tcW w:w="140" w:type="dxa"/>
            <w:vAlign w:val="bottom"/>
          </w:tcPr>
          <w:p>
            <w:pPr>
              <w:spacing w:after="0"/>
              <w:rPr>
                <w:sz w:val="19"/>
                <w:szCs w:val="19"/>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(Non-GAAP)</w:t>
            </w:r>
          </w:p>
        </w:tc>
      </w:tr>
      <w:tr>
        <w:trPr>
          <w:trHeight w:val="199"/>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r>
      <w:tr>
        <w:trPr>
          <w:trHeight w:val="213"/>
        </w:trPr>
        <w:tc>
          <w:tcPr>
            <w:tcW w:w="3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Retail merchandise sales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179,935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167,089</w:t>
            </w:r>
          </w:p>
        </w:tc>
        <w:tc>
          <w:tcPr>
            <w:tcW w:w="3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514,092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(53,251)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460,841</w:t>
            </w:r>
          </w:p>
        </w:tc>
      </w:tr>
      <w:tr>
        <w:trPr>
          <w:trHeight w:val="219"/>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Pawn loan fees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77,150</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214,462</w:t>
            </w:r>
          </w:p>
        </w:tc>
      </w:tr>
      <w:tr>
        <w:trPr>
          <w:trHeight w:val="213"/>
        </w:trPr>
        <w:tc>
          <w:tcPr>
            <w:tcW w:w="3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Wholesale scrap jewelry sales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47,668</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106,454</w:t>
            </w:r>
          </w:p>
        </w:tc>
      </w:tr>
      <w:tr>
        <w:trPr>
          <w:trHeight w:val="209"/>
        </w:trPr>
        <w:tc>
          <w:tcPr>
            <w:tcW w:w="31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310,706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(18,799)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291,907</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859,867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(78,110)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781,757</w:t>
            </w:r>
          </w:p>
        </w:tc>
      </w:tr>
      <w:tr>
        <w:trPr>
          <w:trHeight w:val="77"/>
        </w:trPr>
        <w:tc>
          <w:tcPr>
            <w:tcW w:w="3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3"/>
        </w:trPr>
        <w:tc>
          <w:tcPr>
            <w:tcW w:w="3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 of retail merchandise sold</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108,995</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335,170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300,609</w:t>
            </w:r>
          </w:p>
        </w:tc>
      </w:tr>
      <w:tr>
        <w:trPr>
          <w:trHeight w:val="219"/>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wholesale scrap jewelry sold</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39,884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36,970</w:t>
            </w:r>
          </w:p>
        </w:tc>
        <w:tc>
          <w:tcPr>
            <w:tcW w:w="3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89,691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80,156</w:t>
            </w:r>
          </w:p>
        </w:tc>
      </w:tr>
      <w:tr>
        <w:trPr>
          <w:trHeight w:val="207"/>
        </w:trPr>
        <w:tc>
          <w:tcPr>
            <w:tcW w:w="3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cost of revenue</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157,225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(11,260)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145,965</w:t>
            </w:r>
          </w:p>
        </w:tc>
        <w:tc>
          <w:tcPr>
            <w:tcW w:w="3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424,861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(44,096)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380,765</w:t>
            </w:r>
          </w:p>
        </w:tc>
      </w:tr>
      <w:tr>
        <w:trPr>
          <w:trHeight w:val="77"/>
        </w:trPr>
        <w:tc>
          <w:tcPr>
            <w:tcW w:w="31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213"/>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153,481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145,942</w:t>
            </w:r>
          </w:p>
        </w:tc>
        <w:tc>
          <w:tcPr>
            <w:tcW w:w="3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435,006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(34,014)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400,992</w:t>
            </w:r>
          </w:p>
        </w:tc>
      </w:tr>
      <w:tr>
        <w:trPr>
          <w:trHeight w:val="77"/>
        </w:trPr>
        <w:tc>
          <w:tcPr>
            <w:tcW w:w="31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21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expenses: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78,448</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247,249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222,286</w:t>
            </w:r>
          </w:p>
        </w:tc>
      </w:tr>
      <w:tr>
        <w:trPr>
          <w:trHeight w:val="213"/>
        </w:trPr>
        <w:tc>
          <w:tcPr>
            <w:tcW w:w="3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Depreciation</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4,253</w:t>
            </w:r>
          </w:p>
        </w:tc>
        <w:tc>
          <w:tcPr>
            <w:tcW w:w="3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14,155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12,760</w:t>
            </w:r>
          </w:p>
        </w:tc>
      </w:tr>
      <w:tr>
        <w:trPr>
          <w:trHeight w:val="210"/>
        </w:trPr>
        <w:tc>
          <w:tcPr>
            <w:tcW w:w="3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segment expenses</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88,909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82,701</w:t>
            </w:r>
          </w:p>
        </w:tc>
        <w:tc>
          <w:tcPr>
            <w:tcW w:w="3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261,404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(26,358)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235,046</w:t>
            </w:r>
          </w:p>
        </w:tc>
      </w:tr>
      <w:tr>
        <w:trPr>
          <w:trHeight w:val="77"/>
        </w:trPr>
        <w:tc>
          <w:tcPr>
            <w:tcW w:w="3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241"/>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pre-tax operating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64,572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63,241</w:t>
            </w:r>
          </w:p>
        </w:tc>
        <w:tc>
          <w:tcPr>
            <w:tcW w:w="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173,602</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(7,656)</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165,946</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earning assets for the Latin America pawn segment using the exchange rate from the prior-year comparable period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color w:val="auto"/>
              </w:rPr>
              <w:t>As of September 30, 2026</w:t>
            </w:r>
          </w:p>
        </w:tc>
        <w:tc>
          <w:tcPr>
            <w:tcW w:w="1100" w:type="dxa"/>
            <w:vAlign w:val="bottom"/>
            <w:tcBorders>
              <w:bottom w:val="single" w:sz="8" w:color="auto"/>
            </w:tcBorders>
          </w:tcPr>
          <w:p>
            <w:pPr>
              <w:spacing w:after="0"/>
              <w:rPr>
                <w:sz w:val="18"/>
                <w:szCs w:val="18"/>
                <w:color w:val="auto"/>
              </w:rPr>
            </w:pPr>
          </w:p>
        </w:tc>
      </w:tr>
      <w:tr>
        <w:trPr>
          <w:trHeight w:val="207"/>
        </w:trPr>
        <w:tc>
          <w:tcPr>
            <w:tcW w:w="7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Currency</w:t>
            </w:r>
          </w:p>
        </w:tc>
        <w:tc>
          <w:tcPr>
            <w:tcW w:w="220" w:type="dxa"/>
            <w:vAlign w:val="bottom"/>
          </w:tcPr>
          <w:p>
            <w:pPr>
              <w:spacing w:after="0"/>
              <w:rPr>
                <w:sz w:val="17"/>
                <w:szCs w:val="17"/>
                <w:color w:val="auto"/>
              </w:rPr>
            </w:pPr>
          </w:p>
        </w:tc>
        <w:tc>
          <w:tcPr>
            <w:tcW w:w="11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8"/>
              </w:rPr>
              <w:t>Constant</w:t>
            </w:r>
          </w:p>
        </w:tc>
      </w:tr>
      <w:tr>
        <w:trPr>
          <w:trHeight w:val="216"/>
        </w:trPr>
        <w:tc>
          <w:tcPr>
            <w:tcW w:w="7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w w:val="98"/>
              </w:rPr>
              <w:t>U.S.</w:t>
            </w: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Exchange</w:t>
            </w:r>
          </w:p>
        </w:tc>
        <w:tc>
          <w:tcPr>
            <w:tcW w:w="220" w:type="dxa"/>
            <w:vAlign w:val="bottom"/>
          </w:tcPr>
          <w:p>
            <w:pPr>
              <w:spacing w:after="0"/>
              <w:rPr>
                <w:sz w:val="18"/>
                <w:szCs w:val="18"/>
                <w:color w:val="auto"/>
              </w:rPr>
            </w:pPr>
          </w:p>
        </w:tc>
        <w:tc>
          <w:tcPr>
            <w:tcW w:w="11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Currency</w:t>
            </w:r>
          </w:p>
        </w:tc>
      </w:tr>
      <w:tr>
        <w:trPr>
          <w:trHeight w:val="216"/>
        </w:trPr>
        <w:tc>
          <w:tcPr>
            <w:tcW w:w="7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Dollar</w:t>
            </w:r>
          </w:p>
        </w:tc>
        <w:tc>
          <w:tcPr>
            <w:tcW w:w="16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Rate</w:t>
            </w:r>
          </w:p>
        </w:tc>
        <w:tc>
          <w:tcPr>
            <w:tcW w:w="220" w:type="dxa"/>
            <w:vAlign w:val="bottom"/>
          </w:tcPr>
          <w:p>
            <w:pPr>
              <w:spacing w:after="0"/>
              <w:rPr>
                <w:sz w:val="18"/>
                <w:szCs w:val="18"/>
                <w:color w:val="auto"/>
              </w:rPr>
            </w:pPr>
          </w:p>
        </w:tc>
        <w:tc>
          <w:tcPr>
            <w:tcW w:w="11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Basis</w:t>
            </w:r>
          </w:p>
        </w:tc>
      </w:tr>
      <w:tr>
        <w:trPr>
          <w:trHeight w:val="219"/>
        </w:trPr>
        <w:tc>
          <w:tcPr>
            <w:tcW w:w="7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7"/>
              </w:rPr>
              <w:t>Basis</w:t>
            </w:r>
          </w:p>
        </w:tc>
        <w:tc>
          <w:tcPr>
            <w:tcW w:w="16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Fluctuations</w:t>
            </w:r>
          </w:p>
        </w:tc>
        <w:tc>
          <w:tcPr>
            <w:tcW w:w="220" w:type="dxa"/>
            <w:vAlign w:val="bottom"/>
          </w:tcPr>
          <w:p>
            <w:pPr>
              <w:spacing w:after="0"/>
              <w:rPr>
                <w:sz w:val="19"/>
                <w:szCs w:val="19"/>
                <w:color w:val="auto"/>
              </w:rPr>
            </w:pPr>
          </w:p>
        </w:tc>
        <w:tc>
          <w:tcPr>
            <w:tcW w:w="11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(Non-GAAP)</w:t>
            </w:r>
          </w:p>
        </w:tc>
      </w:tr>
      <w:tr>
        <w:trPr>
          <w:trHeight w:val="199"/>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 assets:</w:t>
            </w: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Pawn loans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205,484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199,632</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155,690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151,257</w:t>
            </w:r>
          </w:p>
        </w:tc>
      </w:tr>
      <w:tr>
        <w:trPr>
          <w:trHeight w:val="210"/>
        </w:trPr>
        <w:tc>
          <w:tcPr>
            <w:tcW w:w="73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361,174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(10,285)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350,889</w:t>
            </w:r>
          </w:p>
        </w:tc>
      </w:tr>
      <w:tr>
        <w:trPr>
          <w:trHeight w:val="23"/>
        </w:trPr>
        <w:tc>
          <w:tcPr>
            <w:tcW w:w="7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54" w:name="page55"/>
    <w:bookmarkEnd w:id="54"/>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operating results for the U.K. pawn segment using the exchange rate from the respective H&amp;T PY Partial Period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60" w:type="dxa"/>
            <w:vAlign w:val="bottom"/>
            <w:gridSpan w:val="8"/>
          </w:tcPr>
          <w:p>
            <w:pPr>
              <w:ind w:left="340"/>
              <w:spacing w:after="0"/>
              <w:rPr>
                <w:sz w:val="20"/>
                <w:szCs w:val="20"/>
                <w:color w:val="auto"/>
              </w:rPr>
            </w:pPr>
            <w:r>
              <w:rPr>
                <w:rFonts w:ascii="Times New Roman" w:cs="Times New Roman" w:eastAsia="Times New Roman" w:hAnsi="Times New Roman"/>
                <w:sz w:val="16"/>
                <w:szCs w:val="16"/>
                <w:color w:val="auto"/>
              </w:rPr>
              <w:t>Three Months Ended September 30, 2026</w:t>
            </w:r>
          </w:p>
        </w:tc>
        <w:tc>
          <w:tcPr>
            <w:tcW w:w="240" w:type="dxa"/>
            <w:vAlign w:val="bottom"/>
          </w:tcPr>
          <w:p>
            <w:pPr>
              <w:spacing w:after="0"/>
              <w:rPr>
                <w:sz w:val="18"/>
                <w:szCs w:val="18"/>
                <w:color w:val="auto"/>
              </w:rPr>
            </w:pPr>
          </w:p>
        </w:tc>
        <w:tc>
          <w:tcPr>
            <w:tcW w:w="3640" w:type="dxa"/>
            <w:vAlign w:val="bottom"/>
            <w:gridSpan w:val="7"/>
          </w:tcPr>
          <w:p>
            <w:pPr>
              <w:jc w:val="right"/>
              <w:ind w:right="539"/>
              <w:spacing w:after="0"/>
              <w:rPr>
                <w:sz w:val="20"/>
                <w:szCs w:val="20"/>
                <w:color w:val="auto"/>
              </w:rPr>
            </w:pPr>
            <w:r>
              <w:rPr>
                <w:rFonts w:ascii="Times New Roman" w:cs="Times New Roman" w:eastAsia="Times New Roman" w:hAnsi="Times New Roman"/>
                <w:sz w:val="16"/>
                <w:szCs w:val="16"/>
                <w:color w:val="auto"/>
              </w:rPr>
              <w:t>Nine Months Ended September 30, 2026</w:t>
            </w:r>
          </w:p>
        </w:tc>
      </w:tr>
      <w:tr>
        <w:trPr>
          <w:trHeight w:val="207"/>
        </w:trPr>
        <w:tc>
          <w:tcPr>
            <w:tcW w:w="31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Currency</w:t>
            </w: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Constant</w:t>
            </w:r>
          </w:p>
        </w:tc>
        <w:tc>
          <w:tcPr>
            <w:tcW w:w="3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Currency</w:t>
            </w: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Constant</w:t>
            </w:r>
          </w:p>
        </w:tc>
      </w:tr>
      <w:tr>
        <w:trPr>
          <w:trHeight w:val="216"/>
        </w:trPr>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U.S.</w:t>
            </w: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Exchange</w:t>
            </w:r>
          </w:p>
        </w:tc>
        <w:tc>
          <w:tcPr>
            <w:tcW w:w="160" w:type="dxa"/>
            <w:vAlign w:val="bottom"/>
          </w:tcPr>
          <w:p>
            <w:pPr>
              <w:spacing w:after="0"/>
              <w:rPr>
                <w:sz w:val="18"/>
                <w:szCs w:val="18"/>
                <w:color w:val="auto"/>
              </w:rPr>
            </w:pPr>
          </w:p>
        </w:tc>
        <w:tc>
          <w:tcPr>
            <w:tcW w:w="148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color w:val="auto"/>
              </w:rPr>
              <w:t>Currency</w:t>
            </w:r>
          </w:p>
        </w:tc>
        <w:tc>
          <w:tcPr>
            <w:tcW w:w="24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U.S.</w:t>
            </w: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Exchange</w:t>
            </w:r>
          </w:p>
        </w:tc>
        <w:tc>
          <w:tcPr>
            <w:tcW w:w="140" w:type="dxa"/>
            <w:vAlign w:val="bottom"/>
          </w:tcPr>
          <w:p>
            <w:pPr>
              <w:spacing w:after="0"/>
              <w:rPr>
                <w:sz w:val="18"/>
                <w:szCs w:val="18"/>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Currency</w:t>
            </w:r>
          </w:p>
        </w:tc>
      </w:tr>
      <w:tr>
        <w:trPr>
          <w:trHeight w:val="216"/>
        </w:trPr>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Dollar</w:t>
            </w: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Rate</w:t>
            </w:r>
          </w:p>
        </w:tc>
        <w:tc>
          <w:tcPr>
            <w:tcW w:w="160" w:type="dxa"/>
            <w:vAlign w:val="bottom"/>
          </w:tcPr>
          <w:p>
            <w:pPr>
              <w:spacing w:after="0"/>
              <w:rPr>
                <w:sz w:val="18"/>
                <w:szCs w:val="18"/>
                <w:color w:val="auto"/>
              </w:rPr>
            </w:pPr>
          </w:p>
        </w:tc>
        <w:tc>
          <w:tcPr>
            <w:tcW w:w="148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color w:val="auto"/>
                <w:w w:val="97"/>
              </w:rPr>
              <w:t>Basis</w:t>
            </w:r>
          </w:p>
        </w:tc>
        <w:tc>
          <w:tcPr>
            <w:tcW w:w="24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Dollar</w:t>
            </w: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Rate</w:t>
            </w:r>
          </w:p>
        </w:tc>
        <w:tc>
          <w:tcPr>
            <w:tcW w:w="140" w:type="dxa"/>
            <w:vAlign w:val="bottom"/>
          </w:tcPr>
          <w:p>
            <w:pPr>
              <w:spacing w:after="0"/>
              <w:rPr>
                <w:sz w:val="18"/>
                <w:szCs w:val="18"/>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Basis</w:t>
            </w:r>
          </w:p>
        </w:tc>
      </w:tr>
      <w:tr>
        <w:trPr>
          <w:trHeight w:val="219"/>
        </w:trPr>
        <w:tc>
          <w:tcPr>
            <w:tcW w:w="3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7"/>
              </w:rPr>
              <w:t>Basis</w:t>
            </w: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Fluctuations</w:t>
            </w:r>
          </w:p>
        </w:tc>
        <w:tc>
          <w:tcPr>
            <w:tcW w:w="160" w:type="dxa"/>
            <w:vAlign w:val="bottom"/>
          </w:tcPr>
          <w:p>
            <w:pPr>
              <w:spacing w:after="0"/>
              <w:rPr>
                <w:sz w:val="19"/>
                <w:szCs w:val="19"/>
                <w:color w:val="auto"/>
              </w:rPr>
            </w:pPr>
          </w:p>
        </w:tc>
        <w:tc>
          <w:tcPr>
            <w:tcW w:w="148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color w:val="auto"/>
              </w:rPr>
              <w:t>(Non-GAAP)</w:t>
            </w:r>
          </w:p>
        </w:tc>
        <w:tc>
          <w:tcPr>
            <w:tcW w:w="240" w:type="dxa"/>
            <w:vAlign w:val="bottom"/>
          </w:tcPr>
          <w:p>
            <w:pPr>
              <w:spacing w:after="0"/>
              <w:rPr>
                <w:sz w:val="19"/>
                <w:szCs w:val="19"/>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7"/>
              </w:rPr>
              <w:t>Basis</w:t>
            </w:r>
          </w:p>
        </w:tc>
        <w:tc>
          <w:tcPr>
            <w:tcW w:w="140" w:type="dxa"/>
            <w:vAlign w:val="bottom"/>
          </w:tcPr>
          <w:p>
            <w:pPr>
              <w:spacing w:after="0"/>
              <w:rPr>
                <w:sz w:val="19"/>
                <w:szCs w:val="19"/>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Fluctuations</w:t>
            </w:r>
          </w:p>
        </w:tc>
        <w:tc>
          <w:tcPr>
            <w:tcW w:w="140" w:type="dxa"/>
            <w:vAlign w:val="bottom"/>
          </w:tcPr>
          <w:p>
            <w:pPr>
              <w:spacing w:after="0"/>
              <w:rPr>
                <w:sz w:val="19"/>
                <w:szCs w:val="19"/>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(Non-GAAP)</w:t>
            </w:r>
          </w:p>
        </w:tc>
      </w:tr>
      <w:tr>
        <w:trPr>
          <w:trHeight w:val="199"/>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r>
      <w:tr>
        <w:trPr>
          <w:trHeight w:val="213"/>
        </w:trPr>
        <w:tc>
          <w:tcPr>
            <w:tcW w:w="3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Retail merchandise sales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22,591</w:t>
            </w:r>
          </w:p>
        </w:tc>
        <w:tc>
          <w:tcPr>
            <w:tcW w:w="3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65,839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64,351</w:t>
            </w:r>
          </w:p>
        </w:tc>
      </w:tr>
      <w:tr>
        <w:trPr>
          <w:trHeight w:val="219"/>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Pawn loan fees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28,328</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87,280</w:t>
            </w:r>
          </w:p>
        </w:tc>
      </w:tr>
      <w:tr>
        <w:trPr>
          <w:trHeight w:val="213"/>
        </w:trPr>
        <w:tc>
          <w:tcPr>
            <w:tcW w:w="3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Wholesale scrap jewelry sales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45,046</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131,170</w:t>
            </w:r>
          </w:p>
        </w:tc>
      </w:tr>
      <w:tr>
        <w:trPr>
          <w:trHeight w:val="219"/>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revenue</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3,559</w:t>
            </w:r>
          </w:p>
        </w:tc>
        <w:tc>
          <w:tcPr>
            <w:tcW w:w="3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9,829</w:t>
            </w:r>
          </w:p>
        </w:tc>
      </w:tr>
      <w:tr>
        <w:trPr>
          <w:trHeight w:val="207"/>
        </w:trPr>
        <w:tc>
          <w:tcPr>
            <w:tcW w:w="3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99,370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99,524</w:t>
            </w:r>
          </w:p>
        </w:tc>
        <w:tc>
          <w:tcPr>
            <w:tcW w:w="3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296,364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292,630</w:t>
            </w:r>
          </w:p>
        </w:tc>
      </w:tr>
      <w:tr>
        <w:trPr>
          <w:trHeight w:val="77"/>
        </w:trPr>
        <w:tc>
          <w:tcPr>
            <w:tcW w:w="31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21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retail merchandise sold</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15,204</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45,006</w:t>
            </w:r>
          </w:p>
        </w:tc>
      </w:tr>
      <w:tr>
        <w:trPr>
          <w:trHeight w:val="213"/>
        </w:trPr>
        <w:tc>
          <w:tcPr>
            <w:tcW w:w="3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 of wholesale scrap jewelry sold</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32,796</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79,787</w:t>
            </w:r>
          </w:p>
        </w:tc>
      </w:tr>
      <w:tr>
        <w:trPr>
          <w:trHeight w:val="219"/>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cost of revenue</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3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w:t>
            </w:r>
          </w:p>
        </w:tc>
      </w:tr>
      <w:tr>
        <w:trPr>
          <w:trHeight w:val="207"/>
        </w:trPr>
        <w:tc>
          <w:tcPr>
            <w:tcW w:w="3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cost of revenue</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48,131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48,268</w:t>
            </w:r>
          </w:p>
        </w:tc>
        <w:tc>
          <w:tcPr>
            <w:tcW w:w="3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129,105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126,186</w:t>
            </w:r>
          </w:p>
        </w:tc>
      </w:tr>
      <w:tr>
        <w:trPr>
          <w:trHeight w:val="77"/>
        </w:trPr>
        <w:tc>
          <w:tcPr>
            <w:tcW w:w="31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213"/>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51,239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51,256</w:t>
            </w:r>
          </w:p>
        </w:tc>
        <w:tc>
          <w:tcPr>
            <w:tcW w:w="3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167,259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166,444</w:t>
            </w:r>
          </w:p>
        </w:tc>
      </w:tr>
      <w:tr>
        <w:trPr>
          <w:trHeight w:val="77"/>
        </w:trPr>
        <w:tc>
          <w:tcPr>
            <w:tcW w:w="31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21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expenses: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20,587</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59,588</w:t>
            </w:r>
          </w:p>
        </w:tc>
      </w:tr>
      <w:tr>
        <w:trPr>
          <w:trHeight w:val="213"/>
        </w:trPr>
        <w:tc>
          <w:tcPr>
            <w:tcW w:w="3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3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4,209</w:t>
            </w:r>
          </w:p>
        </w:tc>
      </w:tr>
      <w:tr>
        <w:trPr>
          <w:trHeight w:val="210"/>
        </w:trPr>
        <w:tc>
          <w:tcPr>
            <w:tcW w:w="3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segment expenses</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22,039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22,101</w:t>
            </w:r>
          </w:p>
        </w:tc>
        <w:tc>
          <w:tcPr>
            <w:tcW w:w="3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65,268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63,797</w:t>
            </w:r>
          </w:p>
        </w:tc>
      </w:tr>
      <w:tr>
        <w:trPr>
          <w:trHeight w:val="77"/>
        </w:trPr>
        <w:tc>
          <w:tcPr>
            <w:tcW w:w="3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241"/>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pre-tax operating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29,155</w:t>
            </w:r>
          </w:p>
        </w:tc>
        <w:tc>
          <w:tcPr>
            <w:tcW w:w="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101,991</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102,647</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earning assets for the U.K. pawn segment using the exchange rate from the prior-year comparable period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color w:val="auto"/>
              </w:rPr>
              <w:t>As of September 30, 2026</w:t>
            </w:r>
          </w:p>
        </w:tc>
        <w:tc>
          <w:tcPr>
            <w:tcW w:w="1100" w:type="dxa"/>
            <w:vAlign w:val="bottom"/>
            <w:tcBorders>
              <w:bottom w:val="single" w:sz="8" w:color="auto"/>
            </w:tcBorders>
          </w:tcPr>
          <w:p>
            <w:pPr>
              <w:spacing w:after="0"/>
              <w:rPr>
                <w:sz w:val="18"/>
                <w:szCs w:val="18"/>
                <w:color w:val="auto"/>
              </w:rPr>
            </w:pPr>
          </w:p>
        </w:tc>
      </w:tr>
      <w:tr>
        <w:trPr>
          <w:trHeight w:val="207"/>
        </w:trPr>
        <w:tc>
          <w:tcPr>
            <w:tcW w:w="7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Currency</w:t>
            </w:r>
          </w:p>
        </w:tc>
        <w:tc>
          <w:tcPr>
            <w:tcW w:w="220" w:type="dxa"/>
            <w:vAlign w:val="bottom"/>
          </w:tcPr>
          <w:p>
            <w:pPr>
              <w:spacing w:after="0"/>
              <w:rPr>
                <w:sz w:val="17"/>
                <w:szCs w:val="17"/>
                <w:color w:val="auto"/>
              </w:rPr>
            </w:pPr>
          </w:p>
        </w:tc>
        <w:tc>
          <w:tcPr>
            <w:tcW w:w="11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8"/>
              </w:rPr>
              <w:t>Constant</w:t>
            </w:r>
          </w:p>
        </w:tc>
      </w:tr>
      <w:tr>
        <w:trPr>
          <w:trHeight w:val="216"/>
        </w:trPr>
        <w:tc>
          <w:tcPr>
            <w:tcW w:w="7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w w:val="98"/>
              </w:rPr>
              <w:t>U.S.</w:t>
            </w: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Exchange</w:t>
            </w:r>
          </w:p>
        </w:tc>
        <w:tc>
          <w:tcPr>
            <w:tcW w:w="220" w:type="dxa"/>
            <w:vAlign w:val="bottom"/>
          </w:tcPr>
          <w:p>
            <w:pPr>
              <w:spacing w:after="0"/>
              <w:rPr>
                <w:sz w:val="18"/>
                <w:szCs w:val="18"/>
                <w:color w:val="auto"/>
              </w:rPr>
            </w:pPr>
          </w:p>
        </w:tc>
        <w:tc>
          <w:tcPr>
            <w:tcW w:w="11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Currency</w:t>
            </w:r>
          </w:p>
        </w:tc>
      </w:tr>
      <w:tr>
        <w:trPr>
          <w:trHeight w:val="216"/>
        </w:trPr>
        <w:tc>
          <w:tcPr>
            <w:tcW w:w="7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Dollar</w:t>
            </w:r>
          </w:p>
        </w:tc>
        <w:tc>
          <w:tcPr>
            <w:tcW w:w="16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Rate</w:t>
            </w:r>
          </w:p>
        </w:tc>
        <w:tc>
          <w:tcPr>
            <w:tcW w:w="220" w:type="dxa"/>
            <w:vAlign w:val="bottom"/>
          </w:tcPr>
          <w:p>
            <w:pPr>
              <w:spacing w:after="0"/>
              <w:rPr>
                <w:sz w:val="18"/>
                <w:szCs w:val="18"/>
                <w:color w:val="auto"/>
              </w:rPr>
            </w:pPr>
          </w:p>
        </w:tc>
        <w:tc>
          <w:tcPr>
            <w:tcW w:w="11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Basis</w:t>
            </w:r>
          </w:p>
        </w:tc>
      </w:tr>
      <w:tr>
        <w:trPr>
          <w:trHeight w:val="219"/>
        </w:trPr>
        <w:tc>
          <w:tcPr>
            <w:tcW w:w="7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7"/>
              </w:rPr>
              <w:t>Basis</w:t>
            </w:r>
          </w:p>
        </w:tc>
        <w:tc>
          <w:tcPr>
            <w:tcW w:w="16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Fluctuations</w:t>
            </w:r>
          </w:p>
        </w:tc>
        <w:tc>
          <w:tcPr>
            <w:tcW w:w="220" w:type="dxa"/>
            <w:vAlign w:val="bottom"/>
          </w:tcPr>
          <w:p>
            <w:pPr>
              <w:spacing w:after="0"/>
              <w:rPr>
                <w:sz w:val="19"/>
                <w:szCs w:val="19"/>
                <w:color w:val="auto"/>
              </w:rPr>
            </w:pPr>
          </w:p>
        </w:tc>
        <w:tc>
          <w:tcPr>
            <w:tcW w:w="11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(Non-GAAP)</w:t>
            </w:r>
          </w:p>
        </w:tc>
      </w:tr>
      <w:tr>
        <w:trPr>
          <w:trHeight w:val="199"/>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 assets:</w:t>
            </w: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Pawn loans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214,941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217,806</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106,628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108,049</w:t>
            </w:r>
          </w:p>
        </w:tc>
      </w:tr>
      <w:tr>
        <w:trPr>
          <w:trHeight w:val="210"/>
        </w:trPr>
        <w:tc>
          <w:tcPr>
            <w:tcW w:w="73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321,569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325,855</w:t>
            </w:r>
          </w:p>
        </w:tc>
      </w:tr>
      <w:tr>
        <w:trPr>
          <w:trHeight w:val="23"/>
        </w:trPr>
        <w:tc>
          <w:tcPr>
            <w:tcW w:w="7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55" w:name="page56"/>
    <w:bookmarkEnd w:id="55"/>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provides exchange rates for the Mexican peso, Guatemalan quetzal, Colombian peso and British pound sterling for the current and prior-year periods: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September 30,</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Favorable /</w:t>
            </w:r>
          </w:p>
        </w:tc>
      </w:tr>
      <w:tr>
        <w:trPr>
          <w:trHeight w:val="214"/>
        </w:trPr>
        <w:tc>
          <w:tcPr>
            <w:tcW w:w="70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3"/>
              </w:rPr>
              <w:t>2025</w:t>
            </w: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(Unfavorable)</w:t>
            </w:r>
          </w:p>
        </w:tc>
      </w:tr>
      <w:tr>
        <w:trPr>
          <w:trHeight w:val="198"/>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dollar / Mexican peso exchange rate:</w:t>
            </w: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14"/>
        </w:trPr>
        <w:tc>
          <w:tcPr>
            <w:tcW w:w="78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End-of-period</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8"/>
                <w:szCs w:val="18"/>
                <w:color w:val="auto"/>
              </w:rPr>
            </w:pPr>
          </w:p>
        </w:tc>
        <w:tc>
          <w:tcPr>
            <w:tcW w:w="16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3 %</w:t>
            </w:r>
          </w:p>
        </w:tc>
      </w:tr>
      <w:tr>
        <w:trPr>
          <w:trHeight w:val="218"/>
        </w:trPr>
        <w:tc>
          <w:tcPr>
            <w:tcW w:w="7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Three months ended</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8 %</w:t>
            </w:r>
          </w:p>
        </w:tc>
      </w:tr>
      <w:tr>
        <w:trPr>
          <w:trHeight w:val="214"/>
        </w:trPr>
        <w:tc>
          <w:tcPr>
            <w:tcW w:w="78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Nine months ended</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18"/>
                <w:szCs w:val="18"/>
                <w:color w:val="auto"/>
              </w:rPr>
            </w:pPr>
          </w:p>
        </w:tc>
        <w:tc>
          <w:tcPr>
            <w:tcW w:w="16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11 %</w:t>
            </w:r>
          </w:p>
        </w:tc>
      </w:tr>
      <w:tr>
        <w:trPr>
          <w:trHeight w:val="96"/>
        </w:trPr>
        <w:tc>
          <w:tcPr>
            <w:tcW w:w="70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0" w:type="dxa"/>
            <w:vAlign w:val="bottom"/>
            <w:shd w:val="clear" w:color="auto" w:fill="CCEEFF"/>
          </w:tcPr>
          <w:p>
            <w:pPr>
              <w:spacing w:after="0"/>
              <w:rPr>
                <w:sz w:val="8"/>
                <w:szCs w:val="8"/>
                <w:color w:val="auto"/>
              </w:rPr>
            </w:pPr>
          </w:p>
        </w:tc>
      </w:tr>
      <w:tr>
        <w:trPr>
          <w:trHeight w:val="213"/>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dollar / Guatemalan quetzal exchange rate: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9"/>
        </w:trPr>
        <w:tc>
          <w:tcPr>
            <w:tcW w:w="7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End-of-period</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1 %</w:t>
            </w:r>
          </w:p>
        </w:tc>
      </w:tr>
      <w:tr>
        <w:trPr>
          <w:trHeight w:val="214"/>
        </w:trPr>
        <w:tc>
          <w:tcPr>
            <w:tcW w:w="78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Three months ended</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16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1 %</w:t>
            </w:r>
          </w:p>
        </w:tc>
      </w:tr>
      <w:tr>
        <w:trPr>
          <w:trHeight w:val="218"/>
        </w:trPr>
        <w:tc>
          <w:tcPr>
            <w:tcW w:w="7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Nine months ended</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1 %</w:t>
            </w:r>
          </w:p>
        </w:tc>
      </w:tr>
      <w:tr>
        <w:trPr>
          <w:trHeight w:val="94"/>
        </w:trPr>
        <w:tc>
          <w:tcPr>
            <w:tcW w:w="7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0" w:type="dxa"/>
            <w:vAlign w:val="bottom"/>
          </w:tcPr>
          <w:p>
            <w:pPr>
              <w:spacing w:after="0"/>
              <w:rPr>
                <w:sz w:val="8"/>
                <w:szCs w:val="8"/>
                <w:color w:val="auto"/>
              </w:rPr>
            </w:pPr>
          </w:p>
        </w:tc>
      </w:tr>
      <w:tr>
        <w:trPr>
          <w:trHeight w:val="216"/>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dollar / Colombian peso exchange rate: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4"/>
        </w:trPr>
        <w:tc>
          <w:tcPr>
            <w:tcW w:w="78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End-of-period</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3,341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3,901</w:t>
            </w:r>
          </w:p>
        </w:tc>
        <w:tc>
          <w:tcPr>
            <w:tcW w:w="100" w:type="dxa"/>
            <w:vAlign w:val="bottom"/>
          </w:tcPr>
          <w:p>
            <w:pPr>
              <w:spacing w:after="0"/>
              <w:rPr>
                <w:sz w:val="18"/>
                <w:szCs w:val="18"/>
                <w:color w:val="auto"/>
              </w:rPr>
            </w:pPr>
          </w:p>
        </w:tc>
        <w:tc>
          <w:tcPr>
            <w:tcW w:w="16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14 %</w:t>
            </w:r>
          </w:p>
        </w:tc>
      </w:tr>
      <w:tr>
        <w:trPr>
          <w:trHeight w:val="218"/>
        </w:trPr>
        <w:tc>
          <w:tcPr>
            <w:tcW w:w="7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Three months ended</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3,193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4,003</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20 %</w:t>
            </w:r>
          </w:p>
        </w:tc>
      </w:tr>
      <w:tr>
        <w:trPr>
          <w:trHeight w:val="214"/>
        </w:trPr>
        <w:tc>
          <w:tcPr>
            <w:tcW w:w="78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Nine months ended</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3,501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4,131</w:t>
            </w:r>
          </w:p>
        </w:tc>
        <w:tc>
          <w:tcPr>
            <w:tcW w:w="100" w:type="dxa"/>
            <w:vAlign w:val="bottom"/>
          </w:tcPr>
          <w:p>
            <w:pPr>
              <w:spacing w:after="0"/>
              <w:rPr>
                <w:sz w:val="18"/>
                <w:szCs w:val="18"/>
                <w:color w:val="auto"/>
              </w:rPr>
            </w:pPr>
          </w:p>
        </w:tc>
        <w:tc>
          <w:tcPr>
            <w:tcW w:w="16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15 %</w:t>
            </w:r>
          </w:p>
        </w:tc>
      </w:tr>
      <w:tr>
        <w:trPr>
          <w:trHeight w:val="96"/>
        </w:trPr>
        <w:tc>
          <w:tcPr>
            <w:tcW w:w="70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0" w:type="dxa"/>
            <w:vAlign w:val="bottom"/>
            <w:shd w:val="clear" w:color="auto" w:fill="CCEEFF"/>
          </w:tcPr>
          <w:p>
            <w:pPr>
              <w:spacing w:after="0"/>
              <w:rPr>
                <w:sz w:val="8"/>
                <w:szCs w:val="8"/>
                <w:color w:val="auto"/>
              </w:rPr>
            </w:pPr>
          </w:p>
        </w:tc>
      </w:tr>
      <w:tr>
        <w:trPr>
          <w:trHeight w:val="213"/>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British pound sterling / U.S. dollar exchange rate: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9"/>
        </w:trPr>
        <w:tc>
          <w:tcPr>
            <w:tcW w:w="7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End-of-period</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(1)%</w:t>
            </w:r>
          </w:p>
        </w:tc>
      </w:tr>
      <w:tr>
        <w:trPr>
          <w:trHeight w:val="214"/>
        </w:trPr>
        <w:tc>
          <w:tcPr>
            <w:tcW w:w="78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Three months ended</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16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w:t>
            </w:r>
          </w:p>
        </w:tc>
      </w:tr>
      <w:tr>
        <w:trPr>
          <w:trHeight w:val="218"/>
        </w:trPr>
        <w:tc>
          <w:tcPr>
            <w:tcW w:w="7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Nine months ended</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2 %</w:t>
            </w:r>
          </w:p>
        </w:tc>
      </w:tr>
    </w:tbl>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QUANTITATIVE AND QUALITATIVE DISCLOSURES ABOUT MARKET RISK</w:t>
      </w:r>
    </w:p>
    <w:p>
      <w:pPr>
        <w:spacing w:after="0" w:line="2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risks relating to the Company’s operations result primarily from changes in interest rates, gold prices and foreign currency exchange rates and are described in detail in the Company’s 2025 Annual Report on Form 10-K. The impact of current-year fluctuations in foreign currency exchange rates, in particular, is further discussed in Part I, Item 2 herein. The Company does not engage in speculative or leveraged transactions, nor does it hold or issue financial instruments for trading purposes. There have been no material changes to the Company’s exposure to market risks since December 31,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CONTROLS AND PROCEDURES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management, under the supervision and with the participation of the Company’s Chief Executive Officer and Chief Financial Officer, has evaluated the effectiveness of the Company’s disclosure controls and procedures (as defined in Rule 13a-15(e) under the Exchange Act). In designing and evaluating the disclosure controls and procedures, the Company’s management recognizes that any controls and procedures, no matter how well designed and operated, can provide only reasonable assurance of achieving the desired control objective.</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upon that evaluation, the Chief Executive Officer and Chief Financial Officer concluded that, as of September 30, 2026, the Company’s disclosure controls and procedures were designed at a reasonable assurance level and were effective.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quarter ended September 30, 2026 that have materially affected, or are reasonably likely to materially affect, the Company’s internal control over financial reporting. The Company is currently in the process of integrating H&amp;T into its assessment of its internal control over financial reporting for the year ending December 31, 2026.</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56" w:name="page57"/>
    <w:bookmarkEnd w:id="56"/>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 OTHER INFORMATION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LEGAL PROCEEDINGS</w:t>
      </w:r>
    </w:p>
    <w:p>
      <w:pPr>
        <w:spacing w:after="0" w:line="2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9 - Commitments and Contingencies of Notes to Consolidated Financial Statements contained in Part I, Item 1 of this report which is incorporated into this Part II, Item 1 by reference.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1A. RISK FACTORS</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Important risk factors that could materially affect the Company’s business, financial condition or results of operations in future periods are described in Part I, Item 1A, “Risk Factors” of the Company’s 2025 Annual Report on Form 10-K. These factors are supplemented by those discussed under “Management’s Discussion and Analysis of Financial Condition and Results of Operations” and “Governmental Regulation” in Part I, Item 2 of this quarterly report and in “Governmental Regulation” in Part I, Item 1 of the Company’s 2025 Annual Report on Form 10-K. There have been no material changes in the Company’s risk factors from those in Part I, Item 1A, “Risk Factors” of the Company’s 2025 Annual Report on Form 10-K.</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UNREGISTERED SALES OF EQUITY SECURITIES AND USE OF PROCEEDS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purchases made by the Company of shares of its common stock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(dollars in thousands, except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2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w w:val="99"/>
              </w:rPr>
              <w:t>Average</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Total Number Of</w:t>
            </w:r>
          </w:p>
        </w:tc>
        <w:tc>
          <w:tcPr>
            <w:tcW w:w="120" w:type="dxa"/>
            <w:vAlign w:val="bottom"/>
          </w:tcPr>
          <w:p>
            <w:pPr>
              <w:spacing w:after="0"/>
              <w:rPr>
                <w:sz w:val="16"/>
                <w:szCs w:val="16"/>
                <w:color w:val="auto"/>
              </w:rPr>
            </w:pP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Approximate Dollar Value</w:t>
            </w:r>
          </w:p>
        </w:tc>
      </w:tr>
      <w:tr>
        <w:trPr>
          <w:trHeight w:val="162"/>
        </w:trPr>
        <w:tc>
          <w:tcPr>
            <w:tcW w:w="3920" w:type="dxa"/>
            <w:vAlign w:val="bottom"/>
          </w:tcPr>
          <w:p>
            <w:pPr>
              <w:spacing w:after="0"/>
              <w:rPr>
                <w:sz w:val="14"/>
                <w:szCs w:val="14"/>
                <w:color w:val="auto"/>
              </w:rPr>
            </w:pPr>
          </w:p>
        </w:tc>
        <w:tc>
          <w:tcPr>
            <w:tcW w:w="17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Number</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center"/>
              <w:ind w:right="400"/>
              <w:spacing w:after="0" w:line="162" w:lineRule="exact"/>
              <w:rPr>
                <w:sz w:val="20"/>
                <w:szCs w:val="20"/>
                <w:color w:val="auto"/>
              </w:rPr>
            </w:pPr>
            <w:r>
              <w:rPr>
                <w:rFonts w:ascii="Times New Roman" w:cs="Times New Roman" w:eastAsia="Times New Roman" w:hAnsi="Times New Roman"/>
                <w:sz w:val="16"/>
                <w:szCs w:val="16"/>
                <w:color w:val="auto"/>
                <w:w w:val="97"/>
              </w:rPr>
              <w:t>Price</w:t>
            </w:r>
          </w:p>
        </w:tc>
        <w:tc>
          <w:tcPr>
            <w:tcW w:w="17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Shares Purchased</w:t>
            </w:r>
          </w:p>
        </w:tc>
        <w:tc>
          <w:tcPr>
            <w:tcW w:w="120" w:type="dxa"/>
            <w:vAlign w:val="bottom"/>
          </w:tcPr>
          <w:p>
            <w:pPr>
              <w:spacing w:after="0"/>
              <w:rPr>
                <w:sz w:val="14"/>
                <w:szCs w:val="14"/>
                <w:color w:val="auto"/>
              </w:rPr>
            </w:pPr>
          </w:p>
        </w:tc>
        <w:tc>
          <w:tcPr>
            <w:tcW w:w="17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color w:val="auto"/>
              </w:rPr>
              <w:t>Of Shares That May Yet</w:t>
            </w:r>
          </w:p>
        </w:tc>
      </w:tr>
      <w:tr>
        <w:trPr>
          <w:trHeight w:val="162"/>
        </w:trPr>
        <w:tc>
          <w:tcPr>
            <w:tcW w:w="3920" w:type="dxa"/>
            <w:vAlign w:val="bottom"/>
          </w:tcPr>
          <w:p>
            <w:pPr>
              <w:spacing w:after="0"/>
              <w:rPr>
                <w:sz w:val="14"/>
                <w:szCs w:val="14"/>
                <w:color w:val="auto"/>
              </w:rPr>
            </w:pPr>
          </w:p>
        </w:tc>
        <w:tc>
          <w:tcPr>
            <w:tcW w:w="17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Of 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center"/>
              <w:ind w:right="400"/>
              <w:spacing w:after="0" w:line="162" w:lineRule="exact"/>
              <w:rPr>
                <w:sz w:val="20"/>
                <w:szCs w:val="20"/>
                <w:color w:val="auto"/>
              </w:rPr>
            </w:pPr>
            <w:r>
              <w:rPr>
                <w:rFonts w:ascii="Times New Roman" w:cs="Times New Roman" w:eastAsia="Times New Roman" w:hAnsi="Times New Roman"/>
                <w:sz w:val="16"/>
                <w:szCs w:val="16"/>
                <w:color w:val="auto"/>
                <w:w w:val="98"/>
              </w:rPr>
              <w:t>Paid</w:t>
            </w:r>
          </w:p>
        </w:tc>
        <w:tc>
          <w:tcPr>
            <w:tcW w:w="17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As Part Of Publicly</w:t>
            </w:r>
          </w:p>
        </w:tc>
        <w:tc>
          <w:tcPr>
            <w:tcW w:w="120" w:type="dxa"/>
            <w:vAlign w:val="bottom"/>
          </w:tcPr>
          <w:p>
            <w:pPr>
              <w:spacing w:after="0"/>
              <w:rPr>
                <w:sz w:val="14"/>
                <w:szCs w:val="14"/>
                <w:color w:val="auto"/>
              </w:rPr>
            </w:pPr>
          </w:p>
        </w:tc>
        <w:tc>
          <w:tcPr>
            <w:tcW w:w="1760" w:type="dxa"/>
            <w:vAlign w:val="bottom"/>
            <w:gridSpan w:val="2"/>
          </w:tcPr>
          <w:p>
            <w:pPr>
              <w:jc w:val="right"/>
              <w:ind w:right="1"/>
              <w:spacing w:after="0" w:line="162" w:lineRule="exact"/>
              <w:rPr>
                <w:sz w:val="20"/>
                <w:szCs w:val="20"/>
                <w:color w:val="auto"/>
              </w:rPr>
            </w:pPr>
            <w:r>
              <w:rPr>
                <w:rFonts w:ascii="Times New Roman" w:cs="Times New Roman" w:eastAsia="Times New Roman" w:hAnsi="Times New Roman"/>
                <w:sz w:val="16"/>
                <w:szCs w:val="16"/>
                <w:color w:val="auto"/>
              </w:rPr>
              <w:t>Be Purchased Under The</w:t>
            </w:r>
          </w:p>
        </w:tc>
      </w:tr>
      <w:tr>
        <w:trPr>
          <w:trHeight w:val="216"/>
        </w:trPr>
        <w:tc>
          <w:tcPr>
            <w:tcW w:w="39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Purchased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center"/>
              <w:ind w:right="400"/>
              <w:spacing w:after="0" w:line="216" w:lineRule="exact"/>
              <w:rPr>
                <w:sz w:val="20"/>
                <w:szCs w:val="20"/>
                <w:color w:val="auto"/>
              </w:rPr>
            </w:pPr>
            <w:r>
              <w:rPr>
                <w:rFonts w:ascii="Times New Roman" w:cs="Times New Roman" w:eastAsia="Times New Roman" w:hAnsi="Times New Roman"/>
                <w:sz w:val="16"/>
                <w:szCs w:val="16"/>
                <w:color w:val="auto"/>
                <w:w w:val="97"/>
              </w:rPr>
              <w:t xml:space="preserve">Per Share </w:t>
            </w:r>
            <w:r>
              <w:rPr>
                <w:rFonts w:ascii="Times New Roman" w:cs="Times New Roman" w:eastAsia="Times New Roman" w:hAnsi="Times New Roman"/>
                <w:sz w:val="21"/>
                <w:szCs w:val="21"/>
                <w:color w:val="auto"/>
                <w:w w:val="97"/>
                <w:vertAlign w:val="superscript"/>
              </w:rPr>
              <w:t>(1)</w:t>
            </w:r>
          </w:p>
        </w:tc>
        <w:tc>
          <w:tcPr>
            <w:tcW w:w="174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w w:val="97"/>
              </w:rPr>
              <w:t xml:space="preserve">Announced Plans </w:t>
            </w:r>
            <w:r>
              <w:rPr>
                <w:rFonts w:ascii="Times New Roman" w:cs="Times New Roman" w:eastAsia="Times New Roman" w:hAnsi="Times New Roman"/>
                <w:sz w:val="21"/>
                <w:szCs w:val="21"/>
                <w:color w:val="auto"/>
                <w:w w:val="97"/>
                <w:vertAlign w:val="superscript"/>
              </w:rPr>
              <w:t>(2)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center"/>
              <w:ind w:right="241"/>
              <w:spacing w:after="0" w:line="216" w:lineRule="exact"/>
              <w:rPr>
                <w:sz w:val="20"/>
                <w:szCs w:val="20"/>
                <w:color w:val="auto"/>
              </w:rPr>
            </w:pPr>
            <w:r>
              <w:rPr>
                <w:rFonts w:ascii="Times New Roman" w:cs="Times New Roman" w:eastAsia="Times New Roman" w:hAnsi="Times New Roman"/>
                <w:sz w:val="25"/>
                <w:szCs w:val="25"/>
                <w:color w:val="auto"/>
                <w:vertAlign w:val="subscript"/>
              </w:rPr>
              <w:t>Plans</w:t>
            </w:r>
            <w:r>
              <w:rPr>
                <w:rFonts w:ascii="Times New Roman" w:cs="Times New Roman" w:eastAsia="Times New Roman" w:hAnsi="Times New Roman"/>
                <w:sz w:val="9"/>
                <w:szCs w:val="9"/>
                <w:color w:val="auto"/>
              </w:rPr>
              <w:t xml:space="preserve"> (1) (2)</w:t>
            </w:r>
          </w:p>
        </w:tc>
      </w:tr>
      <w:tr>
        <w:trPr>
          <w:trHeight w:val="223"/>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through July 31, 2026</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426,841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207.59</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426,841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84,785</w:t>
            </w: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through August 31, 2026</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211.35</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164,581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50,000</w:t>
            </w: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through September 30, 2026</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50,000</w:t>
            </w:r>
          </w:p>
        </w:tc>
      </w:tr>
      <w:tr>
        <w:trPr>
          <w:trHeight w:val="223"/>
        </w:trPr>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591,422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208.64</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591,422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left="340" w:hanging="332"/>
        <w:spacing w:after="0" w:line="244" w:lineRule="auto"/>
        <w:tabs>
          <w:tab w:leader="none" w:pos="328"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Inflation Reduction Act of 2022, which was enacted into law on August 16, 2022, imposed a nondeductible 1% excise tax on the net value of certain stock repurchases made after December 31, 2022. During the three months ended September 30, 2026, the Company reflected the applicable excise tax in treasury stock as part of the cost basis of the stock repurchased and recorded a corresponding liability for the excise taxes payable in accounts payable and accrued liabilities on the consolidated balance sheet. All dollar amounts presented exclude such excise taxes.</w:t>
      </w:r>
    </w:p>
    <w:p>
      <w:pPr>
        <w:spacing w:after="0" w:line="219" w:lineRule="exact"/>
        <w:rPr>
          <w:rFonts w:ascii="Times New Roman" w:cs="Times New Roman" w:eastAsia="Times New Roman" w:hAnsi="Times New Roman"/>
          <w:sz w:val="21"/>
          <w:szCs w:val="21"/>
          <w:color w:val="auto"/>
          <w:vertAlign w:val="superscript"/>
        </w:rPr>
      </w:pPr>
    </w:p>
    <w:p>
      <w:pPr>
        <w:jc w:val="both"/>
        <w:ind w:left="340" w:hanging="332"/>
        <w:spacing w:after="0" w:line="237" w:lineRule="auto"/>
        <w:tabs>
          <w:tab w:leader="none" w:pos="328"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July 2026, the Company completed its October 2025 share repurchase program, and the Board of Directors authorized a new share repurchase program for up to $150.0 million of the Company’s outstanding common stock, of which $50.0 million remains available. The July 2026 share repurchase program does not prescribe an expiration date.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DEFAULTS UPON SENIOR SECURITIES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MINE SAFETY DISCLOSURES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57" w:name="page58"/>
    <w:bookmarkEnd w:id="57"/>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 OTHER INFORMATION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 and Other Non-Rule 10b5-1 Trading Plans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None of the Company’s directors or officers adopted, modified or terminated a Rule 10b5-1 trading arrangement or a non-Rule 10b5-1 trading arrangement, as such terms are defined under Item 408(a) of Regulation S-K, during the three months ended September 30, 2026, except as follows: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17, 2026, Rick L. Wessel, Vice Chairman of the Board and Chief Executive Officer, adopted a written plan for the sale of up to 60,719 shares of the Company’s common stock that is intended to satisfy the affirmative defense conditions of Rule 10b5-1(c). The plan will expire on August 19, 2027, or on any earlier date on which all of the shares have been sold.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 EXHIBITS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6"/>
                <w:szCs w:val="16"/>
                <w:color w:val="auto"/>
              </w:rPr>
              <w:t>Incorporated by Reference</w:t>
            </w: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3"/>
        </w:trPr>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Exhibit No.</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720" w:type="dxa"/>
            <w:vAlign w:val="bottom"/>
            <w:gridSpan w:val="18"/>
          </w:tcPr>
          <w:p>
            <w:pPr>
              <w:ind w:left="860"/>
              <w:spacing w:after="0"/>
              <w:rPr>
                <w:sz w:val="20"/>
                <w:szCs w:val="20"/>
                <w:color w:val="auto"/>
              </w:rPr>
            </w:pPr>
            <w:r>
              <w:rPr>
                <w:rFonts w:ascii="Times New Roman" w:cs="Times New Roman" w:eastAsia="Times New Roman" w:hAnsi="Times New Roman"/>
                <w:sz w:val="16"/>
                <w:szCs w:val="16"/>
                <w:color w:val="auto"/>
              </w:rPr>
              <w:t>Exhibit Description</w:t>
            </w: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7"/>
              </w:rPr>
              <w:t>Form</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File No.</w:t>
            </w: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Exhibit</w:t>
            </w:r>
          </w:p>
        </w:tc>
        <w:tc>
          <w:tcPr>
            <w:tcW w:w="1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Filing Date</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Filed Herewith</w:t>
            </w:r>
          </w:p>
        </w:tc>
      </w:tr>
      <w:tr>
        <w:trPr>
          <w:trHeight w:val="172"/>
        </w:trPr>
        <w:tc>
          <w:tcPr>
            <w:tcW w:w="960" w:type="dxa"/>
            <w:vAlign w:val="bottom"/>
            <w:tcBorders>
              <w:top w:val="single" w:sz="8" w:color="auto"/>
            </w:tcBorders>
          </w:tcPr>
          <w:p>
            <w:pPr>
              <w:ind w:left="20"/>
              <w:spacing w:after="0" w:line="172" w:lineRule="exact"/>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380" w:type="dxa"/>
            <w:vAlign w:val="bottom"/>
            <w:tcBorders>
              <w:top w:val="single" w:sz="8" w:color="auto"/>
              <w:bottom w:val="single" w:sz="8" w:color="0000FF"/>
            </w:tcBorders>
            <w:gridSpan w:val="3"/>
          </w:tcPr>
          <w:p>
            <w:pPr>
              <w:spacing w:after="0" w:line="172" w:lineRule="exact"/>
              <w:rPr>
                <w:rFonts w:ascii="Times New Roman" w:cs="Times New Roman" w:eastAsia="Times New Roman" w:hAnsi="Times New Roman"/>
                <w:sz w:val="16"/>
                <w:szCs w:val="16"/>
                <w:color w:val="0000FF"/>
              </w:rPr>
            </w:pPr>
            <w:hyperlink r:id="rId69">
              <w:r>
                <w:rPr>
                  <w:rFonts w:ascii="Times New Roman" w:cs="Times New Roman" w:eastAsia="Times New Roman" w:hAnsi="Times New Roman"/>
                  <w:sz w:val="16"/>
                  <w:szCs w:val="16"/>
                  <w:color w:val="0000FF"/>
                </w:rPr>
                <w:t>Certificate of Formation of FirstCash Holdings, Inc.</w:t>
              </w:r>
            </w:hyperlink>
          </w:p>
        </w:tc>
        <w:tc>
          <w:tcPr>
            <w:tcW w:w="780" w:type="dxa"/>
            <w:vAlign w:val="bottom"/>
            <w:tcBorders>
              <w:top w:val="single" w:sz="8" w:color="auto"/>
            </w:tcBorders>
            <w:gridSpan w:val="15"/>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top w:val="single" w:sz="8" w:color="auto"/>
            </w:tcBorders>
          </w:tcPr>
          <w:p>
            <w:pPr>
              <w:jc w:val="center"/>
              <w:ind w:right="59"/>
              <w:spacing w:after="0" w:line="172" w:lineRule="exact"/>
              <w:rPr>
                <w:sz w:val="20"/>
                <w:szCs w:val="20"/>
                <w:color w:val="auto"/>
              </w:rPr>
            </w:pPr>
            <w:r>
              <w:rPr>
                <w:rFonts w:ascii="Times New Roman" w:cs="Times New Roman" w:eastAsia="Times New Roman" w:hAnsi="Times New Roman"/>
                <w:sz w:val="16"/>
                <w:szCs w:val="16"/>
                <w:color w:val="auto"/>
              </w:rPr>
              <w:t>8-K</w:t>
            </w:r>
          </w:p>
        </w:tc>
        <w:tc>
          <w:tcPr>
            <w:tcW w:w="100" w:type="dxa"/>
            <w:vAlign w:val="bottom"/>
          </w:tcPr>
          <w:p>
            <w:pPr>
              <w:spacing w:after="0"/>
              <w:rPr>
                <w:sz w:val="14"/>
                <w:szCs w:val="14"/>
                <w:color w:val="auto"/>
              </w:rPr>
            </w:pPr>
          </w:p>
        </w:tc>
        <w:tc>
          <w:tcPr>
            <w:tcW w:w="110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rPr>
              <w:t>001-10960</w:t>
            </w:r>
          </w:p>
        </w:tc>
        <w:tc>
          <w:tcPr>
            <w:tcW w:w="100" w:type="dxa"/>
            <w:vAlign w:val="bottom"/>
          </w:tcPr>
          <w:p>
            <w:pPr>
              <w:spacing w:after="0"/>
              <w:rPr>
                <w:sz w:val="14"/>
                <w:szCs w:val="14"/>
                <w:color w:val="auto"/>
              </w:rPr>
            </w:pPr>
          </w:p>
        </w:tc>
        <w:tc>
          <w:tcPr>
            <w:tcW w:w="104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3.1</w:t>
            </w:r>
          </w:p>
        </w:tc>
        <w:tc>
          <w:tcPr>
            <w:tcW w:w="120" w:type="dxa"/>
            <w:vAlign w:val="bottom"/>
          </w:tcPr>
          <w:p>
            <w:pPr>
              <w:spacing w:after="0"/>
              <w:rPr>
                <w:sz w:val="14"/>
                <w:szCs w:val="14"/>
                <w:color w:val="auto"/>
              </w:rPr>
            </w:pPr>
          </w:p>
        </w:tc>
        <w:tc>
          <w:tcPr>
            <w:tcW w:w="1300" w:type="dxa"/>
            <w:vAlign w:val="bottom"/>
            <w:tcBorders>
              <w:top w:val="single" w:sz="8" w:color="auto"/>
            </w:tcBorders>
          </w:tcPr>
          <w:p>
            <w:pPr>
              <w:ind w:left="280"/>
              <w:spacing w:after="0" w:line="172" w:lineRule="exact"/>
              <w:rPr>
                <w:sz w:val="20"/>
                <w:szCs w:val="20"/>
                <w:color w:val="auto"/>
              </w:rPr>
            </w:pPr>
            <w:r>
              <w:rPr>
                <w:rFonts w:ascii="Times New Roman" w:cs="Times New Roman" w:eastAsia="Times New Roman" w:hAnsi="Times New Roman"/>
                <w:sz w:val="16"/>
                <w:szCs w:val="16"/>
                <w:color w:val="auto"/>
              </w:rPr>
              <w:t>06/18/2026</w:t>
            </w:r>
          </w:p>
        </w:tc>
        <w:tc>
          <w:tcPr>
            <w:tcW w:w="12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r>
      <w:tr>
        <w:trPr>
          <w:trHeight w:val="19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19"/>
          </w:tcPr>
          <w:p>
            <w:pPr>
              <w:spacing w:after="0"/>
              <w:rPr>
                <w:rFonts w:ascii="Times New Roman" w:cs="Times New Roman" w:eastAsia="Times New Roman" w:hAnsi="Times New Roman"/>
                <w:sz w:val="16"/>
                <w:szCs w:val="16"/>
                <w:color w:val="0000FF"/>
              </w:rPr>
            </w:pPr>
            <w:hyperlink r:id="rId70">
              <w:r>
                <w:rPr>
                  <w:rFonts w:ascii="Times New Roman" w:cs="Times New Roman" w:eastAsia="Times New Roman" w:hAnsi="Times New Roman"/>
                  <w:sz w:val="16"/>
                  <w:szCs w:val="16"/>
                  <w:color w:val="0000FF"/>
                </w:rPr>
                <w:t>Amended and Restated Bylaws of FirstCash Holdings, Inc.</w:t>
              </w:r>
            </w:hyperlink>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001-10960</w:t>
            </w: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20" w:type="dxa"/>
            <w:vAlign w:val="bottom"/>
          </w:tcPr>
          <w:p>
            <w:pPr>
              <w:spacing w:after="0"/>
              <w:rPr>
                <w:sz w:val="17"/>
                <w:szCs w:val="17"/>
                <w:color w:val="auto"/>
              </w:rPr>
            </w:pPr>
          </w:p>
        </w:tc>
        <w:tc>
          <w:tcPr>
            <w:tcW w:w="1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06/18/2026</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19"/>
          </w:tcPr>
          <w:p>
            <w:pPr>
              <w:spacing w:after="0"/>
              <w:rPr>
                <w:rFonts w:ascii="Times New Roman" w:cs="Times New Roman" w:eastAsia="Times New Roman" w:hAnsi="Times New Roman"/>
                <w:sz w:val="16"/>
                <w:szCs w:val="16"/>
                <w:color w:val="0000FF"/>
              </w:rPr>
            </w:pPr>
            <w:hyperlink r:id="rId71">
              <w:r>
                <w:rPr>
                  <w:rFonts w:ascii="Times New Roman" w:cs="Times New Roman" w:eastAsia="Times New Roman" w:hAnsi="Times New Roman"/>
                  <w:sz w:val="16"/>
                  <w:szCs w:val="16"/>
                  <w:color w:val="0000FF"/>
                </w:rPr>
                <w:t>Tenth  Amendment  to  Amended  and  Restated  Credit</w:t>
              </w:r>
            </w:hyperlink>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001-10960</w:t>
            </w: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20" w:type="dxa"/>
            <w:vAlign w:val="bottom"/>
          </w:tcPr>
          <w:p>
            <w:pPr>
              <w:spacing w:after="0"/>
              <w:rPr>
                <w:sz w:val="17"/>
                <w:szCs w:val="17"/>
                <w:color w:val="auto"/>
              </w:rPr>
            </w:pPr>
          </w:p>
        </w:tc>
        <w:tc>
          <w:tcPr>
            <w:tcW w:w="1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08/31/2026</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60" w:type="dxa"/>
            <w:vAlign w:val="bottom"/>
            <w:tcBorders>
              <w:top w:val="single" w:sz="8" w:color="0000FF"/>
            </w:tcBorders>
            <w:gridSpan w:val="13"/>
          </w:tcPr>
          <w:p>
            <w:pPr>
              <w:spacing w:after="0" w:line="142" w:lineRule="exact"/>
              <w:rPr>
                <w:rFonts w:ascii="Times New Roman" w:cs="Times New Roman" w:eastAsia="Times New Roman" w:hAnsi="Times New Roman"/>
                <w:sz w:val="16"/>
                <w:szCs w:val="16"/>
                <w:color w:val="0000FF"/>
              </w:rPr>
            </w:pPr>
            <w:hyperlink r:id="rId71">
              <w:r>
                <w:rPr>
                  <w:rFonts w:ascii="Times New Roman" w:cs="Times New Roman" w:eastAsia="Times New Roman" w:hAnsi="Times New Roman"/>
                  <w:sz w:val="16"/>
                  <w:szCs w:val="16"/>
                  <w:color w:val="0000FF"/>
                </w:rPr>
                <w:t>Agreement, dated August 27, 2026, between FirstCash</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20" w:type="dxa"/>
            <w:vAlign w:val="bottom"/>
            <w:tcBorders>
              <w:top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71">
              <w:r>
                <w:rPr>
                  <w:rFonts w:ascii="Times New Roman" w:cs="Times New Roman" w:eastAsia="Times New Roman" w:hAnsi="Times New Roman"/>
                  <w:sz w:val="16"/>
                  <w:szCs w:val="16"/>
                  <w:color w:val="0000FF"/>
                </w:rPr>
                <w:t>Holdings, Inc., FirstCash, Inc., Chess Holdco Limited,</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60" w:type="dxa"/>
            <w:vAlign w:val="bottom"/>
            <w:tcBorders>
              <w:top w:val="single" w:sz="8" w:color="0000FF"/>
              <w:bottom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71">
              <w:r>
                <w:rPr>
                  <w:rFonts w:ascii="Times New Roman" w:cs="Times New Roman" w:eastAsia="Times New Roman" w:hAnsi="Times New Roman"/>
                  <w:sz w:val="16"/>
                  <w:szCs w:val="16"/>
                  <w:color w:val="0000FF"/>
                </w:rPr>
                <w:t>Chess Bidco Limited, certain subsidiaries of the borrowers</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0" w:type="dxa"/>
            <w:vAlign w:val="bottom"/>
            <w:gridSpan w:val="10"/>
          </w:tcPr>
          <w:p>
            <w:pPr>
              <w:spacing w:after="0" w:line="142" w:lineRule="exact"/>
              <w:rPr>
                <w:rFonts w:ascii="Times New Roman" w:cs="Times New Roman" w:eastAsia="Times New Roman" w:hAnsi="Times New Roman"/>
                <w:sz w:val="16"/>
                <w:szCs w:val="16"/>
                <w:color w:val="0000FF"/>
              </w:rPr>
            </w:pPr>
            <w:hyperlink r:id="rId71">
              <w:r>
                <w:rPr>
                  <w:rFonts w:ascii="Times New Roman" w:cs="Times New Roman" w:eastAsia="Times New Roman" w:hAnsi="Times New Roman"/>
                  <w:sz w:val="16"/>
                  <w:szCs w:val="16"/>
                  <w:color w:val="0000FF"/>
                </w:rPr>
                <w:t>from time to time party thereto, the lenders party thereto,</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20" w:type="dxa"/>
            <w:vAlign w:val="bottom"/>
            <w:tcBorders>
              <w:top w:val="single" w:sz="8" w:color="0000FF"/>
            </w:tcBorders>
            <w:gridSpan w:val="6"/>
          </w:tcPr>
          <w:p>
            <w:pPr>
              <w:spacing w:after="0" w:line="142" w:lineRule="exact"/>
              <w:rPr>
                <w:rFonts w:ascii="Times New Roman" w:cs="Times New Roman" w:eastAsia="Times New Roman" w:hAnsi="Times New Roman"/>
                <w:sz w:val="16"/>
                <w:szCs w:val="16"/>
                <w:color w:val="0000FF"/>
              </w:rPr>
            </w:pPr>
            <w:hyperlink r:id="rId71">
              <w:r>
                <w:rPr>
                  <w:rFonts w:ascii="Times New Roman" w:cs="Times New Roman" w:eastAsia="Times New Roman" w:hAnsi="Times New Roman"/>
                  <w:sz w:val="16"/>
                  <w:szCs w:val="16"/>
                  <w:color w:val="0000FF"/>
                </w:rPr>
                <w:t>and  Wells  Fargo  Bank,  National  Association,  as</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w w:val="99"/>
              </w:rPr>
            </w:pPr>
            <w:hyperlink r:id="rId71">
              <w:r>
                <w:rPr>
                  <w:rFonts w:ascii="Times New Roman" w:cs="Times New Roman" w:eastAsia="Times New Roman" w:hAnsi="Times New Roman"/>
                  <w:sz w:val="16"/>
                  <w:szCs w:val="16"/>
                  <w:color w:val="0000FF"/>
                  <w:w w:val="99"/>
                </w:rPr>
                <w:t>administrative agent.</w:t>
              </w:r>
            </w:hyperlink>
          </w:p>
        </w:tc>
        <w:tc>
          <w:tcPr>
            <w:tcW w:w="2540" w:type="dxa"/>
            <w:vAlign w:val="bottom"/>
            <w:tcBorders>
              <w:top w:val="single" w:sz="8" w:color="0000FF"/>
            </w:tcBorders>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9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Certification Pursuant to Exchange Act Rule 13a-14(a)/15d-</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00" w:type="dxa"/>
            <w:vAlign w:val="bottom"/>
            <w:tcBorders>
              <w:top w:val="single" w:sz="8" w:color="0000FF"/>
            </w:tcBorders>
            <w:gridSpan w:val="15"/>
          </w:tcPr>
          <w:p>
            <w:pPr>
              <w:spacing w:after="0" w:line="142" w:lineRule="exact"/>
              <w:rPr>
                <w:sz w:val="20"/>
                <w:szCs w:val="20"/>
                <w:color w:val="auto"/>
              </w:rPr>
            </w:pPr>
            <w:r>
              <w:rPr>
                <w:rFonts w:ascii="Times New Roman" w:cs="Times New Roman" w:eastAsia="Times New Roman" w:hAnsi="Times New Roman"/>
                <w:sz w:val="16"/>
                <w:szCs w:val="16"/>
                <w:color w:val="0000FF"/>
              </w:rPr>
              <w:t>14(a), as Adopted Pursuant to Section 302 of the Sarbanes-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20" w:type="dxa"/>
            <w:vAlign w:val="bottom"/>
            <w:tcBorders>
              <w:top w:val="single" w:sz="8" w:color="0000FF"/>
            </w:tcBorders>
            <w:gridSpan w:val="11"/>
          </w:tcPr>
          <w:p>
            <w:pPr>
              <w:spacing w:after="0" w:line="142" w:lineRule="exact"/>
              <w:rPr>
                <w:sz w:val="20"/>
                <w:szCs w:val="20"/>
                <w:color w:val="auto"/>
              </w:rPr>
            </w:pPr>
            <w:r>
              <w:rPr>
                <w:rFonts w:ascii="Times New Roman" w:cs="Times New Roman" w:eastAsia="Times New Roman" w:hAnsi="Times New Roman"/>
                <w:sz w:val="16"/>
                <w:szCs w:val="16"/>
                <w:color w:val="0000FF"/>
              </w:rPr>
              <w:t>Oxley Act, provided by Rick L. Wessel, Chief Executive</w:t>
            </w: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40" w:type="dxa"/>
            <w:vAlign w:val="bottom"/>
            <w:tcBorders>
              <w:top w:val="single" w:sz="8" w:color="0000FF"/>
            </w:tcBorders>
            <w:gridSpan w:val="7"/>
          </w:tcPr>
          <w:p>
            <w:pPr>
              <w:spacing w:after="0" w:line="142" w:lineRule="exact"/>
              <w:rPr>
                <w:sz w:val="20"/>
                <w:szCs w:val="20"/>
                <w:color w:val="auto"/>
              </w:rPr>
            </w:pPr>
            <w:r>
              <w:rPr>
                <w:rFonts w:ascii="Times New Roman" w:cs="Times New Roman" w:eastAsia="Times New Roman" w:hAnsi="Times New Roman"/>
                <w:sz w:val="16"/>
                <w:szCs w:val="16"/>
                <w:color w:val="0000FF"/>
              </w:rPr>
              <w:t>Officer</w:t>
            </w: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52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Certification Pursuant to Exchange Act Rule 13a-14(a)/15d-</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00" w:type="dxa"/>
            <w:vAlign w:val="bottom"/>
            <w:tcBorders>
              <w:top w:val="single" w:sz="8" w:color="0000FF"/>
            </w:tcBorders>
            <w:gridSpan w:val="15"/>
          </w:tcPr>
          <w:p>
            <w:pPr>
              <w:spacing w:after="0" w:line="142" w:lineRule="exact"/>
              <w:rPr>
                <w:sz w:val="20"/>
                <w:szCs w:val="20"/>
                <w:color w:val="auto"/>
              </w:rPr>
            </w:pPr>
            <w:r>
              <w:rPr>
                <w:rFonts w:ascii="Times New Roman" w:cs="Times New Roman" w:eastAsia="Times New Roman" w:hAnsi="Times New Roman"/>
                <w:sz w:val="16"/>
                <w:szCs w:val="16"/>
                <w:color w:val="0000FF"/>
              </w:rPr>
              <w:t>14(a), as Adopted Pursuant to Section 302 of the Sarbanes-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20" w:type="dxa"/>
            <w:vAlign w:val="bottom"/>
            <w:tcBorders>
              <w:top w:val="single" w:sz="8" w:color="0000FF"/>
            </w:tcBorders>
            <w:gridSpan w:val="11"/>
          </w:tcPr>
          <w:p>
            <w:pPr>
              <w:spacing w:after="0" w:line="142" w:lineRule="exact"/>
              <w:rPr>
                <w:sz w:val="20"/>
                <w:szCs w:val="20"/>
                <w:color w:val="auto"/>
              </w:rPr>
            </w:pPr>
            <w:r>
              <w:rPr>
                <w:rFonts w:ascii="Times New Roman" w:cs="Times New Roman" w:eastAsia="Times New Roman" w:hAnsi="Times New Roman"/>
                <w:sz w:val="16"/>
                <w:szCs w:val="16"/>
                <w:color w:val="0000FF"/>
              </w:rPr>
              <w:t>Oxley Act, provided by R. Douglas Orr, Chief Financial</w:t>
            </w: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80" w:type="dxa"/>
            <w:vAlign w:val="bottom"/>
            <w:tcBorders>
              <w:top w:val="single" w:sz="8" w:color="0000FF"/>
            </w:tcBorders>
            <w:gridSpan w:val="9"/>
          </w:tcPr>
          <w:p>
            <w:pPr>
              <w:spacing w:after="0" w:line="142" w:lineRule="exact"/>
              <w:rPr>
                <w:sz w:val="20"/>
                <w:szCs w:val="20"/>
                <w:color w:val="auto"/>
              </w:rPr>
            </w:pPr>
            <w:r>
              <w:rPr>
                <w:rFonts w:ascii="Times New Roman" w:cs="Times New Roman" w:eastAsia="Times New Roman" w:hAnsi="Times New Roman"/>
                <w:sz w:val="16"/>
                <w:szCs w:val="16"/>
                <w:color w:val="0000FF"/>
              </w:rPr>
              <w:t>Officer</w:t>
            </w: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58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Certification  Pursuant  to  18  U.S.C.  Section  1350,  as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40" w:type="dxa"/>
            <w:vAlign w:val="bottom"/>
            <w:tcBorders>
              <w:top w:val="single" w:sz="8" w:color="0000FF"/>
            </w:tcBorders>
            <w:gridSpan w:val="17"/>
          </w:tcPr>
          <w:p>
            <w:pPr>
              <w:spacing w:after="0" w:line="142" w:lineRule="exact"/>
              <w:rPr>
                <w:sz w:val="20"/>
                <w:szCs w:val="20"/>
                <w:color w:val="auto"/>
              </w:rPr>
            </w:pPr>
            <w:r>
              <w:rPr>
                <w:rFonts w:ascii="Times New Roman" w:cs="Times New Roman" w:eastAsia="Times New Roman" w:hAnsi="Times New Roman"/>
                <w:sz w:val="16"/>
                <w:szCs w:val="16"/>
                <w:color w:val="0000FF"/>
              </w:rPr>
              <w:t>Adopted Pursuant to Section 906 of the Sarbanes-Oxley Act</w:t>
            </w:r>
          </w:p>
        </w:tc>
        <w:tc>
          <w:tcPr>
            <w:tcW w:w="4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20" w:type="dxa"/>
            <w:vAlign w:val="bottom"/>
            <w:tcBorders>
              <w:top w:val="single" w:sz="8" w:color="0000FF"/>
            </w:tcBorders>
            <w:gridSpan w:val="16"/>
          </w:tcPr>
          <w:p>
            <w:pPr>
              <w:spacing w:after="0" w:line="142" w:lineRule="exact"/>
              <w:rPr>
                <w:sz w:val="20"/>
                <w:szCs w:val="20"/>
                <w:color w:val="auto"/>
              </w:rPr>
            </w:pPr>
            <w:r>
              <w:rPr>
                <w:rFonts w:ascii="Times New Roman" w:cs="Times New Roman" w:eastAsia="Times New Roman" w:hAnsi="Times New Roman"/>
                <w:sz w:val="16"/>
                <w:szCs w:val="16"/>
                <w:color w:val="0000FF"/>
              </w:rPr>
              <w:t>of 2002, provided by Rick L. Wessel, Chief Executive</w:t>
            </w:r>
          </w:p>
        </w:tc>
        <w:tc>
          <w:tcPr>
            <w:tcW w:w="60" w:type="dxa"/>
            <w:vAlign w:val="bottom"/>
            <w:gridSpan w:val="3"/>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40" w:type="dxa"/>
            <w:vAlign w:val="bottom"/>
            <w:tcBorders>
              <w:top w:val="single" w:sz="8" w:color="0000FF"/>
            </w:tcBorders>
            <w:gridSpan w:val="12"/>
          </w:tcPr>
          <w:p>
            <w:pPr>
              <w:spacing w:after="0" w:line="142" w:lineRule="exact"/>
              <w:rPr>
                <w:sz w:val="20"/>
                <w:szCs w:val="20"/>
                <w:color w:val="auto"/>
              </w:rPr>
            </w:pPr>
            <w:r>
              <w:rPr>
                <w:rFonts w:ascii="Times New Roman" w:cs="Times New Roman" w:eastAsia="Times New Roman" w:hAnsi="Times New Roman"/>
                <w:sz w:val="16"/>
                <w:szCs w:val="16"/>
                <w:color w:val="0000FF"/>
              </w:rPr>
              <w:t>Officer</w:t>
            </w: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20" w:type="dxa"/>
            <w:vAlign w:val="bottom"/>
            <w:gridSpan w:val="1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Certification  Pursuant  to  18  U.S.C.  Section  1350,  as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40" w:type="dxa"/>
            <w:vAlign w:val="bottom"/>
            <w:tcBorders>
              <w:top w:val="single" w:sz="8" w:color="0000FF"/>
            </w:tcBorders>
            <w:gridSpan w:val="17"/>
          </w:tcPr>
          <w:p>
            <w:pPr>
              <w:spacing w:after="0" w:line="142" w:lineRule="exact"/>
              <w:rPr>
                <w:sz w:val="20"/>
                <w:szCs w:val="20"/>
                <w:color w:val="auto"/>
              </w:rPr>
            </w:pPr>
            <w:r>
              <w:rPr>
                <w:rFonts w:ascii="Times New Roman" w:cs="Times New Roman" w:eastAsia="Times New Roman" w:hAnsi="Times New Roman"/>
                <w:sz w:val="16"/>
                <w:szCs w:val="16"/>
                <w:color w:val="0000FF"/>
              </w:rPr>
              <w:t>Adopted Pursuant to Section 906 of the Sarbanes-Oxley Act</w:t>
            </w:r>
          </w:p>
        </w:tc>
        <w:tc>
          <w:tcPr>
            <w:tcW w:w="4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20" w:type="dxa"/>
            <w:vAlign w:val="bottom"/>
            <w:tcBorders>
              <w:top w:val="single" w:sz="8" w:color="0000FF"/>
            </w:tcBorders>
            <w:gridSpan w:val="16"/>
          </w:tcPr>
          <w:p>
            <w:pPr>
              <w:spacing w:after="0" w:line="142" w:lineRule="exact"/>
              <w:rPr>
                <w:sz w:val="20"/>
                <w:szCs w:val="20"/>
                <w:color w:val="auto"/>
              </w:rPr>
            </w:pPr>
            <w:r>
              <w:rPr>
                <w:rFonts w:ascii="Times New Roman" w:cs="Times New Roman" w:eastAsia="Times New Roman" w:hAnsi="Times New Roman"/>
                <w:sz w:val="16"/>
                <w:szCs w:val="16"/>
                <w:color w:val="0000FF"/>
              </w:rPr>
              <w:t>of 2002, provided by R. Douglas Orr, Chief Financial</w:t>
            </w:r>
          </w:p>
        </w:tc>
        <w:tc>
          <w:tcPr>
            <w:tcW w:w="60" w:type="dxa"/>
            <w:vAlign w:val="bottom"/>
            <w:gridSpan w:val="3"/>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80" w:type="dxa"/>
            <w:vAlign w:val="bottom"/>
            <w:tcBorders>
              <w:top w:val="single" w:sz="8" w:color="0000FF"/>
            </w:tcBorders>
            <w:gridSpan w:val="14"/>
          </w:tcPr>
          <w:p>
            <w:pPr>
              <w:spacing w:after="0" w:line="142" w:lineRule="exact"/>
              <w:rPr>
                <w:sz w:val="20"/>
                <w:szCs w:val="20"/>
                <w:color w:val="auto"/>
              </w:rPr>
            </w:pPr>
            <w:r>
              <w:rPr>
                <w:rFonts w:ascii="Times New Roman" w:cs="Times New Roman" w:eastAsia="Times New Roman" w:hAnsi="Times New Roman"/>
                <w:sz w:val="16"/>
                <w:szCs w:val="16"/>
                <w:color w:val="0000FF"/>
              </w:rPr>
              <w:t>Officer</w:t>
            </w:r>
          </w:p>
        </w:tc>
        <w:tc>
          <w:tcPr>
            <w:tcW w:w="100" w:type="dxa"/>
            <w:vAlign w:val="bottom"/>
            <w:gridSpan w:val="5"/>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720" w:type="dxa"/>
            <w:vAlign w:val="bottom"/>
            <w:gridSpan w:val="1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106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6"/>
                <w:szCs w:val="16"/>
                <w:color w:val="auto"/>
              </w:rPr>
              <w:t>101.INS</w:t>
            </w:r>
          </w:p>
        </w:tc>
        <w:tc>
          <w:tcPr>
            <w:tcW w:w="20" w:type="dxa"/>
            <w:vAlign w:val="bottom"/>
          </w:tcPr>
          <w:p>
            <w:pPr>
              <w:spacing w:after="0"/>
              <w:rPr>
                <w:sz w:val="15"/>
                <w:szCs w:val="15"/>
                <w:color w:val="auto"/>
              </w:rPr>
            </w:pPr>
          </w:p>
        </w:tc>
        <w:tc>
          <w:tcPr>
            <w:tcW w:w="4180" w:type="dxa"/>
            <w:vAlign w:val="bottom"/>
            <w:gridSpan w:val="19"/>
          </w:tcPr>
          <w:p>
            <w:pPr>
              <w:spacing w:after="0" w:line="183" w:lineRule="exact"/>
              <w:rPr>
                <w:sz w:val="20"/>
                <w:szCs w:val="20"/>
                <w:color w:val="auto"/>
              </w:rPr>
            </w:pPr>
            <w:r>
              <w:rPr>
                <w:rFonts w:ascii="Times New Roman" w:cs="Times New Roman" w:eastAsia="Times New Roman" w:hAnsi="Times New Roman"/>
                <w:sz w:val="16"/>
                <w:szCs w:val="16"/>
                <w:color w:val="auto"/>
              </w:rPr>
              <w:t>Inline XBRL Instance Document - the instance document</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X</w:t>
            </w:r>
          </w:p>
        </w:tc>
      </w:tr>
      <w:tr>
        <w:trPr>
          <w:trHeight w:val="162"/>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80" w:type="dxa"/>
            <w:vAlign w:val="bottom"/>
            <w:gridSpan w:val="19"/>
          </w:tcPr>
          <w:p>
            <w:pPr>
              <w:spacing w:after="0" w:line="162" w:lineRule="exact"/>
              <w:rPr>
                <w:sz w:val="20"/>
                <w:szCs w:val="20"/>
                <w:color w:val="auto"/>
              </w:rPr>
            </w:pPr>
            <w:r>
              <w:rPr>
                <w:rFonts w:ascii="Times New Roman" w:cs="Times New Roman" w:eastAsia="Times New Roman" w:hAnsi="Times New Roman"/>
                <w:sz w:val="16"/>
                <w:szCs w:val="16"/>
                <w:color w:val="auto"/>
              </w:rPr>
              <w:t>does not appear in the Interactive Data File because its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80" w:type="dxa"/>
            <w:vAlign w:val="bottom"/>
            <w:gridSpan w:val="19"/>
          </w:tcPr>
          <w:p>
            <w:pPr>
              <w:spacing w:after="0" w:line="162" w:lineRule="exact"/>
              <w:rPr>
                <w:sz w:val="20"/>
                <w:szCs w:val="20"/>
                <w:color w:val="auto"/>
              </w:rPr>
            </w:pPr>
            <w:r>
              <w:rPr>
                <w:rFonts w:ascii="Times New Roman" w:cs="Times New Roman" w:eastAsia="Times New Roman" w:hAnsi="Times New Roman"/>
                <w:sz w:val="16"/>
                <w:szCs w:val="16"/>
                <w:color w:val="auto"/>
              </w:rPr>
              <w:t>XBRL  tags  are  embedded  within  the  Inline  XBRL</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0"/>
        </w:trPr>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document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tcPr>
          <w:p>
            <w:pPr>
              <w:spacing w:after="0"/>
              <w:rPr>
                <w:sz w:val="18"/>
                <w:szCs w:val="18"/>
                <w:color w:val="auto"/>
              </w:rPr>
            </w:pPr>
          </w:p>
        </w:tc>
        <w:tc>
          <w:tcPr>
            <w:tcW w:w="418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168"/>
        </w:trPr>
        <w:tc>
          <w:tcPr>
            <w:tcW w:w="106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6"/>
                <w:szCs w:val="16"/>
                <w:color w:val="auto"/>
              </w:rPr>
              <w:t>101.CAL</w:t>
            </w:r>
          </w:p>
        </w:tc>
        <w:tc>
          <w:tcPr>
            <w:tcW w:w="20" w:type="dxa"/>
            <w:vAlign w:val="bottom"/>
          </w:tcPr>
          <w:p>
            <w:pPr>
              <w:spacing w:after="0"/>
              <w:rPr>
                <w:sz w:val="14"/>
                <w:szCs w:val="14"/>
                <w:color w:val="auto"/>
              </w:rPr>
            </w:pPr>
          </w:p>
        </w:tc>
        <w:tc>
          <w:tcPr>
            <w:tcW w:w="4180" w:type="dxa"/>
            <w:vAlign w:val="bottom"/>
            <w:gridSpan w:val="19"/>
          </w:tcPr>
          <w:p>
            <w:pPr>
              <w:spacing w:after="0" w:line="168" w:lineRule="exact"/>
              <w:rPr>
                <w:sz w:val="20"/>
                <w:szCs w:val="20"/>
                <w:color w:val="auto"/>
              </w:rPr>
            </w:pPr>
            <w:r>
              <w:rPr>
                <w:rFonts w:ascii="Times New Roman" w:cs="Times New Roman" w:eastAsia="Times New Roman" w:hAnsi="Times New Roman"/>
                <w:sz w:val="16"/>
                <w:szCs w:val="16"/>
                <w:color w:val="auto"/>
              </w:rPr>
              <w:t>Inline XBRL Taxonomy Extension Calculation Linkbase</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rPr>
              <w:t>X</w:t>
            </w:r>
          </w:p>
        </w:tc>
      </w:tr>
      <w:tr>
        <w:trPr>
          <w:trHeight w:val="210"/>
        </w:trPr>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Document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68"/>
        </w:trPr>
        <w:tc>
          <w:tcPr>
            <w:tcW w:w="106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6"/>
                <w:szCs w:val="16"/>
                <w:color w:val="auto"/>
              </w:rPr>
              <w:t>101.DEF</w:t>
            </w:r>
          </w:p>
        </w:tc>
        <w:tc>
          <w:tcPr>
            <w:tcW w:w="20" w:type="dxa"/>
            <w:vAlign w:val="bottom"/>
          </w:tcPr>
          <w:p>
            <w:pPr>
              <w:spacing w:after="0"/>
              <w:rPr>
                <w:sz w:val="14"/>
                <w:szCs w:val="14"/>
                <w:color w:val="auto"/>
              </w:rPr>
            </w:pPr>
          </w:p>
        </w:tc>
        <w:tc>
          <w:tcPr>
            <w:tcW w:w="4180" w:type="dxa"/>
            <w:vAlign w:val="bottom"/>
            <w:gridSpan w:val="19"/>
          </w:tcPr>
          <w:p>
            <w:pPr>
              <w:spacing w:after="0" w:line="168" w:lineRule="exact"/>
              <w:rPr>
                <w:sz w:val="20"/>
                <w:szCs w:val="20"/>
                <w:color w:val="auto"/>
              </w:rPr>
            </w:pPr>
            <w:r>
              <w:rPr>
                <w:rFonts w:ascii="Times New Roman" w:cs="Times New Roman" w:eastAsia="Times New Roman" w:hAnsi="Times New Roman"/>
                <w:sz w:val="16"/>
                <w:szCs w:val="16"/>
                <w:color w:val="auto"/>
              </w:rPr>
              <w:t>Inline XBRL Taxonomy Extension Definition Linkbase</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rPr>
              <w:t>X</w:t>
            </w:r>
          </w:p>
        </w:tc>
      </w:tr>
      <w:tr>
        <w:trPr>
          <w:trHeight w:val="210"/>
        </w:trPr>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Document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68"/>
        </w:trPr>
        <w:tc>
          <w:tcPr>
            <w:tcW w:w="106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6"/>
                <w:szCs w:val="16"/>
                <w:color w:val="auto"/>
              </w:rPr>
              <w:t>101.LAB</w:t>
            </w:r>
          </w:p>
        </w:tc>
        <w:tc>
          <w:tcPr>
            <w:tcW w:w="20" w:type="dxa"/>
            <w:vAlign w:val="bottom"/>
          </w:tcPr>
          <w:p>
            <w:pPr>
              <w:spacing w:after="0"/>
              <w:rPr>
                <w:sz w:val="14"/>
                <w:szCs w:val="14"/>
                <w:color w:val="auto"/>
              </w:rPr>
            </w:pPr>
          </w:p>
        </w:tc>
        <w:tc>
          <w:tcPr>
            <w:tcW w:w="4180" w:type="dxa"/>
            <w:vAlign w:val="bottom"/>
            <w:gridSpan w:val="19"/>
          </w:tcPr>
          <w:p>
            <w:pPr>
              <w:spacing w:after="0" w:line="168" w:lineRule="exact"/>
              <w:rPr>
                <w:sz w:val="20"/>
                <w:szCs w:val="20"/>
                <w:color w:val="auto"/>
              </w:rPr>
            </w:pPr>
            <w:r>
              <w:rPr>
                <w:rFonts w:ascii="Times New Roman" w:cs="Times New Roman" w:eastAsia="Times New Roman" w:hAnsi="Times New Roman"/>
                <w:sz w:val="16"/>
                <w:szCs w:val="16"/>
                <w:color w:val="auto"/>
              </w:rPr>
              <w:t>Inline  XBRL  Taxonomy  Extension  Label  Linkbase</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rPr>
              <w:t>X</w:t>
            </w:r>
          </w:p>
        </w:tc>
      </w:tr>
      <w:tr>
        <w:trPr>
          <w:trHeight w:val="210"/>
        </w:trPr>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Document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68"/>
        </w:trPr>
        <w:tc>
          <w:tcPr>
            <w:tcW w:w="106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6"/>
                <w:szCs w:val="16"/>
                <w:color w:val="auto"/>
              </w:rPr>
              <w:t>101.PRE</w:t>
            </w:r>
          </w:p>
        </w:tc>
        <w:tc>
          <w:tcPr>
            <w:tcW w:w="20" w:type="dxa"/>
            <w:vAlign w:val="bottom"/>
          </w:tcPr>
          <w:p>
            <w:pPr>
              <w:spacing w:after="0"/>
              <w:rPr>
                <w:sz w:val="14"/>
                <w:szCs w:val="14"/>
                <w:color w:val="auto"/>
              </w:rPr>
            </w:pPr>
          </w:p>
        </w:tc>
        <w:tc>
          <w:tcPr>
            <w:tcW w:w="4180" w:type="dxa"/>
            <w:vAlign w:val="bottom"/>
            <w:gridSpan w:val="19"/>
          </w:tcPr>
          <w:p>
            <w:pPr>
              <w:spacing w:after="0" w:line="168" w:lineRule="exact"/>
              <w:rPr>
                <w:sz w:val="20"/>
                <w:szCs w:val="20"/>
                <w:color w:val="auto"/>
              </w:rPr>
            </w:pPr>
            <w:r>
              <w:rPr>
                <w:rFonts w:ascii="Times New Roman" w:cs="Times New Roman" w:eastAsia="Times New Roman" w:hAnsi="Times New Roman"/>
                <w:sz w:val="16"/>
                <w:szCs w:val="16"/>
                <w:color w:val="auto"/>
              </w:rPr>
              <w:t>Inline XBRL Taxonomy Extension Presentation Linkbase</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rPr>
              <w:t>X</w:t>
            </w:r>
          </w:p>
        </w:tc>
      </w:tr>
      <w:tr>
        <w:trPr>
          <w:trHeight w:val="210"/>
        </w:trPr>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Document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68"/>
        </w:trPr>
        <w:tc>
          <w:tcPr>
            <w:tcW w:w="96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80" w:type="dxa"/>
            <w:vAlign w:val="bottom"/>
            <w:gridSpan w:val="19"/>
          </w:tcPr>
          <w:p>
            <w:pPr>
              <w:spacing w:after="0" w:line="168" w:lineRule="exact"/>
              <w:rPr>
                <w:sz w:val="20"/>
                <w:szCs w:val="20"/>
                <w:color w:val="auto"/>
              </w:rPr>
            </w:pPr>
            <w:r>
              <w:rPr>
                <w:rFonts w:ascii="Times New Roman" w:cs="Times New Roman" w:eastAsia="Times New Roman" w:hAnsi="Times New Roman"/>
                <w:sz w:val="16"/>
                <w:szCs w:val="16"/>
                <w:color w:val="auto"/>
              </w:rPr>
              <w:t>Cover Page Interactive Data File (embedded within the</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rPr>
              <w:t>X</w:t>
            </w:r>
          </w:p>
        </w:tc>
      </w:tr>
      <w:tr>
        <w:trPr>
          <w:trHeight w:val="210"/>
        </w:trPr>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Inline XBRL document contained in Exhibit 101)</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58" w:name="page59"/>
    <w:bookmarkEnd w:id="58"/>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4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26, 2026</w:t>
            </w:r>
          </w:p>
        </w:tc>
        <w:tc>
          <w:tcPr>
            <w:tcW w:w="38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FIRSTCASH HOLDINGS, INC.</w:t>
            </w:r>
          </w:p>
        </w:tc>
      </w:tr>
      <w:tr>
        <w:trPr>
          <w:trHeight w:val="250"/>
        </w:trPr>
        <w:tc>
          <w:tcPr>
            <w:tcW w:w="5180" w:type="dxa"/>
            <w:vAlign w:val="bottom"/>
          </w:tcPr>
          <w:p>
            <w:pPr>
              <w:spacing w:after="0"/>
              <w:rPr>
                <w:sz w:val="21"/>
                <w:szCs w:val="21"/>
                <w:color w:val="auto"/>
              </w:rPr>
            </w:pPr>
          </w:p>
        </w:tc>
        <w:tc>
          <w:tcPr>
            <w:tcW w:w="238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(Registrant)</w:t>
            </w:r>
          </w:p>
        </w:tc>
        <w:tc>
          <w:tcPr>
            <w:tcW w:w="1460" w:type="dxa"/>
            <w:vAlign w:val="bottom"/>
          </w:tcPr>
          <w:p>
            <w:pPr>
              <w:spacing w:after="0"/>
              <w:rPr>
                <w:sz w:val="21"/>
                <w:szCs w:val="21"/>
                <w:color w:val="auto"/>
              </w:rPr>
            </w:pPr>
          </w:p>
        </w:tc>
      </w:tr>
      <w:tr>
        <w:trPr>
          <w:trHeight w:val="702"/>
        </w:trPr>
        <w:tc>
          <w:tcPr>
            <w:tcW w:w="5180" w:type="dxa"/>
            <w:vAlign w:val="bottom"/>
          </w:tcPr>
          <w:p>
            <w:pPr>
              <w:spacing w:after="0"/>
              <w:rPr>
                <w:sz w:val="24"/>
                <w:szCs w:val="24"/>
                <w:color w:val="auto"/>
              </w:rPr>
            </w:pPr>
          </w:p>
        </w:tc>
        <w:tc>
          <w:tcPr>
            <w:tcW w:w="1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/s/ RICK L. WESSEL</w:t>
            </w:r>
          </w:p>
        </w:tc>
        <w:tc>
          <w:tcPr>
            <w:tcW w:w="2240" w:type="dxa"/>
            <w:vAlign w:val="bottom"/>
            <w:gridSpan w:val="4"/>
          </w:tcPr>
          <w:p>
            <w:pPr>
              <w:spacing w:after="0"/>
              <w:rPr>
                <w:sz w:val="24"/>
                <w:szCs w:val="24"/>
                <w:color w:val="auto"/>
              </w:rPr>
            </w:pPr>
          </w:p>
        </w:tc>
      </w:tr>
      <w:tr>
        <w:trPr>
          <w:trHeight w:val="245"/>
        </w:trPr>
        <w:tc>
          <w:tcPr>
            <w:tcW w:w="5180" w:type="dxa"/>
            <w:vAlign w:val="bottom"/>
          </w:tcPr>
          <w:p>
            <w:pPr>
              <w:spacing w:after="0"/>
              <w:rPr>
                <w:sz w:val="21"/>
                <w:szCs w:val="21"/>
                <w:color w:val="auto"/>
              </w:rPr>
            </w:pPr>
          </w:p>
        </w:tc>
        <w:tc>
          <w:tcPr>
            <w:tcW w:w="38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Rick L. Wessel</w:t>
            </w:r>
          </w:p>
        </w:tc>
      </w:tr>
      <w:tr>
        <w:trPr>
          <w:trHeight w:val="229"/>
        </w:trPr>
        <w:tc>
          <w:tcPr>
            <w:tcW w:w="5180" w:type="dxa"/>
            <w:vAlign w:val="bottom"/>
          </w:tcPr>
          <w:p>
            <w:pPr>
              <w:spacing w:after="0"/>
              <w:rPr>
                <w:sz w:val="19"/>
                <w:szCs w:val="19"/>
                <w:color w:val="auto"/>
              </w:rPr>
            </w:pPr>
          </w:p>
        </w:tc>
        <w:tc>
          <w:tcPr>
            <w:tcW w:w="38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180" w:type="dxa"/>
            <w:vAlign w:val="bottom"/>
          </w:tcPr>
          <w:p>
            <w:pPr>
              <w:spacing w:after="0"/>
              <w:rPr>
                <w:sz w:val="20"/>
                <w:szCs w:val="20"/>
                <w:color w:val="auto"/>
              </w:rPr>
            </w:pPr>
          </w:p>
        </w:tc>
        <w:tc>
          <w:tcPr>
            <w:tcW w:w="38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(On behalf of the Registrant)</w:t>
            </w:r>
          </w:p>
        </w:tc>
      </w:tr>
      <w:tr>
        <w:trPr>
          <w:trHeight w:val="702"/>
        </w:trPr>
        <w:tc>
          <w:tcPr>
            <w:tcW w:w="5180" w:type="dxa"/>
            <w:vAlign w:val="bottom"/>
          </w:tcPr>
          <w:p>
            <w:pPr>
              <w:spacing w:after="0"/>
              <w:rPr>
                <w:sz w:val="24"/>
                <w:szCs w:val="24"/>
                <w:color w:val="auto"/>
              </w:rPr>
            </w:pPr>
          </w:p>
        </w:tc>
        <w:tc>
          <w:tcPr>
            <w:tcW w:w="38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 R. DOUGLAS ORR</w:t>
            </w:r>
          </w:p>
        </w:tc>
      </w:tr>
      <w:tr>
        <w:trPr>
          <w:trHeight w:val="245"/>
        </w:trPr>
        <w:tc>
          <w:tcPr>
            <w:tcW w:w="5180" w:type="dxa"/>
            <w:vAlign w:val="bottom"/>
          </w:tcPr>
          <w:p>
            <w:pPr>
              <w:spacing w:after="0"/>
              <w:rPr>
                <w:sz w:val="21"/>
                <w:szCs w:val="21"/>
                <w:color w:val="auto"/>
              </w:rPr>
            </w:pPr>
          </w:p>
        </w:tc>
        <w:tc>
          <w:tcPr>
            <w:tcW w:w="17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R. Douglas Orr</w:t>
            </w:r>
          </w:p>
        </w:tc>
        <w:tc>
          <w:tcPr>
            <w:tcW w:w="2140" w:type="dxa"/>
            <w:vAlign w:val="bottom"/>
            <w:gridSpan w:val="3"/>
          </w:tcPr>
          <w:p>
            <w:pPr>
              <w:spacing w:after="0"/>
              <w:rPr>
                <w:sz w:val="21"/>
                <w:szCs w:val="21"/>
                <w:color w:val="auto"/>
              </w:rPr>
            </w:pPr>
          </w:p>
        </w:tc>
      </w:tr>
      <w:tr>
        <w:trPr>
          <w:trHeight w:val="229"/>
        </w:trPr>
        <w:tc>
          <w:tcPr>
            <w:tcW w:w="5180" w:type="dxa"/>
            <w:vAlign w:val="bottom"/>
          </w:tcPr>
          <w:p>
            <w:pPr>
              <w:spacing w:after="0"/>
              <w:rPr>
                <w:sz w:val="19"/>
                <w:szCs w:val="19"/>
                <w:color w:val="auto"/>
              </w:rPr>
            </w:pPr>
          </w:p>
        </w:tc>
        <w:tc>
          <w:tcPr>
            <w:tcW w:w="38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w w:val="98"/>
              </w:rPr>
              <w:t>Executive Vice President and Chief Financial Officer</w:t>
            </w:r>
          </w:p>
        </w:tc>
      </w:tr>
      <w:tr>
        <w:trPr>
          <w:trHeight w:val="234"/>
        </w:trPr>
        <w:tc>
          <w:tcPr>
            <w:tcW w:w="5180" w:type="dxa"/>
            <w:vAlign w:val="bottom"/>
          </w:tcPr>
          <w:p>
            <w:pPr>
              <w:spacing w:after="0"/>
              <w:rPr>
                <w:sz w:val="20"/>
                <w:szCs w:val="20"/>
                <w:color w:val="auto"/>
              </w:rPr>
            </w:pPr>
          </w:p>
        </w:tc>
        <w:tc>
          <w:tcPr>
            <w:tcW w:w="38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(As Principal Financial Officer)</w:t>
            </w:r>
          </w:p>
        </w:tc>
      </w:tr>
      <w:tr>
        <w:trPr>
          <w:trHeight w:val="702"/>
        </w:trPr>
        <w:tc>
          <w:tcPr>
            <w:tcW w:w="5180" w:type="dxa"/>
            <w:vAlign w:val="bottom"/>
          </w:tcPr>
          <w:p>
            <w:pPr>
              <w:spacing w:after="0"/>
              <w:rPr>
                <w:sz w:val="24"/>
                <w:szCs w:val="24"/>
                <w:color w:val="auto"/>
              </w:rPr>
            </w:pPr>
          </w:p>
        </w:tc>
        <w:tc>
          <w:tcPr>
            <w:tcW w:w="20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w w:val="98"/>
              </w:rPr>
              <w:t>/s/ BRIAN D. HOSTETLER</w:t>
            </w:r>
          </w:p>
        </w:tc>
        <w:tc>
          <w:tcPr>
            <w:tcW w:w="1760" w:type="dxa"/>
            <w:vAlign w:val="bottom"/>
            <w:gridSpan w:val="2"/>
          </w:tcPr>
          <w:p>
            <w:pPr>
              <w:spacing w:after="0"/>
              <w:rPr>
                <w:sz w:val="24"/>
                <w:szCs w:val="24"/>
                <w:color w:val="auto"/>
              </w:rPr>
            </w:pPr>
          </w:p>
        </w:tc>
      </w:tr>
      <w:tr>
        <w:trPr>
          <w:trHeight w:val="245"/>
        </w:trPr>
        <w:tc>
          <w:tcPr>
            <w:tcW w:w="5180" w:type="dxa"/>
            <w:vAlign w:val="bottom"/>
          </w:tcPr>
          <w:p>
            <w:pPr>
              <w:spacing w:after="0"/>
              <w:rPr>
                <w:sz w:val="21"/>
                <w:szCs w:val="21"/>
                <w:color w:val="auto"/>
              </w:rPr>
            </w:pPr>
          </w:p>
        </w:tc>
        <w:tc>
          <w:tcPr>
            <w:tcW w:w="38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Brian D. Hostetler</w:t>
            </w:r>
          </w:p>
        </w:tc>
      </w:tr>
      <w:tr>
        <w:trPr>
          <w:trHeight w:val="230"/>
        </w:trPr>
        <w:tc>
          <w:tcPr>
            <w:tcW w:w="5180" w:type="dxa"/>
            <w:vAlign w:val="bottom"/>
          </w:tcPr>
          <w:p>
            <w:pPr>
              <w:spacing w:after="0"/>
              <w:rPr>
                <w:sz w:val="19"/>
                <w:szCs w:val="19"/>
                <w:color w:val="auto"/>
              </w:rPr>
            </w:pPr>
          </w:p>
        </w:tc>
        <w:tc>
          <w:tcPr>
            <w:tcW w:w="38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tc>
      </w:tr>
      <w:tr>
        <w:trPr>
          <w:trHeight w:val="234"/>
        </w:trPr>
        <w:tc>
          <w:tcPr>
            <w:tcW w:w="5180" w:type="dxa"/>
            <w:vAlign w:val="bottom"/>
          </w:tcPr>
          <w:p>
            <w:pPr>
              <w:spacing w:after="0"/>
              <w:rPr>
                <w:sz w:val="20"/>
                <w:szCs w:val="20"/>
                <w:color w:val="auto"/>
              </w:rPr>
            </w:pPr>
          </w:p>
        </w:tc>
        <w:tc>
          <w:tcPr>
            <w:tcW w:w="38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(As Principal Accounting Officer)</w:t>
            </w:r>
          </w:p>
        </w:tc>
      </w:tr>
      <w:tr>
        <w:trPr>
          <w:trHeight w:val="621"/>
        </w:trPr>
        <w:tc>
          <w:tcPr>
            <w:tcW w:w="518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240"/>
          </w:cols>
          <w:pgMar w:left="320" w:top="162"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3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b w:val="1"/>
          <w:bCs w:val="1"/>
          <w:color w:val="auto"/>
        </w:rPr>
        <w:t>CERTIFICATION PURSUANT TO EXCHANGE ACT RULE 13a-14(a)/15d-14(a),</w:t>
      </w:r>
    </w:p>
    <w:p>
      <w:pPr>
        <w:spacing w:after="0" w:line="1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b w:val="1"/>
          <w:bCs w:val="1"/>
          <w:color w:val="auto"/>
        </w:rPr>
        <w:t>AS ADOPTED PURSUANT TO SECTION 302 OF THE SARBANES-OXLEY ACT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Rick L. Wessel, certify that:</w:t>
      </w:r>
    </w:p>
    <w:p>
      <w:pPr>
        <w:spacing w:after="0" w:line="25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FirstCash Holdings, Inc. (the “Registrant”);</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26,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Rick L. Wessel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Rick L. Wessel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3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b w:val="1"/>
          <w:bCs w:val="1"/>
          <w:color w:val="auto"/>
        </w:rPr>
        <w:t>CERTIFICATION PURSUANT TO EXCHANGE ACT RULE 13a-14(a)/15d-14(a),</w:t>
      </w:r>
    </w:p>
    <w:p>
      <w:pPr>
        <w:spacing w:after="0" w:line="1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b w:val="1"/>
          <w:bCs w:val="1"/>
          <w:color w:val="auto"/>
        </w:rPr>
        <w:t>AS ADOPTED PURSUANT TO SECTION 302 OF THE SARBANES-OXLEY ACT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 Douglas Orr, certify that:</w:t>
      </w:r>
    </w:p>
    <w:p>
      <w:pPr>
        <w:spacing w:after="0" w:line="25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FirstCash Holdings, Inc. (the “Registrant”);</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26,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R. Douglas Orr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 Douglas Orr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52" w:lineRule="exact"/>
        <w:rPr>
          <w:sz w:val="20"/>
          <w:szCs w:val="20"/>
          <w:color w:val="auto"/>
        </w:rPr>
      </w:pPr>
    </w:p>
    <w:p>
      <w:pPr>
        <w:jc w:val="center"/>
        <w:ind w:left="340" w:right="2700"/>
        <w:spacing w:after="0" w:line="259" w:lineRule="auto"/>
        <w:rPr>
          <w:sz w:val="20"/>
          <w:szCs w:val="20"/>
          <w:color w:val="auto"/>
        </w:rPr>
      </w:pPr>
      <w:r>
        <w:rPr>
          <w:rFonts w:ascii="Times New Roman" w:cs="Times New Roman" w:eastAsia="Times New Roman" w:hAnsi="Times New Roman"/>
          <w:sz w:val="22"/>
          <w:szCs w:val="22"/>
          <w:b w:val="1"/>
          <w:bCs w:val="1"/>
          <w:color w:val="auto"/>
        </w:rPr>
        <w:t>CERTIFICATION PURSUANT TO 18 U.S.C. SECTION 1350, AS ADOPTED PURSUANT TO 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FirstCash Holdings, Inc. (the “Company”) on Form 10-Q for the quarterly period ended September 30, 2026, as filed with the Securities and Exchange Commission on the date hereof (the “Report”), I, Rick L. Wessel, Chief Executive Officer of the Company, certify, pursuant to 18 U.S.C. Section 1350, as adopted pursuant to Section 906 of the Sarbanes-Oxley Act of 2002, that to my knowledge:</w:t>
      </w:r>
    </w:p>
    <w:p>
      <w:pPr>
        <w:spacing w:after="0" w:line="203" w:lineRule="exact"/>
        <w:rPr>
          <w:sz w:val="20"/>
          <w:szCs w:val="20"/>
          <w:color w:val="auto"/>
        </w:rPr>
      </w:pPr>
    </w:p>
    <w:p>
      <w:pPr>
        <w:ind w:left="740" w:hanging="327"/>
        <w:spacing w:after="0"/>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right="60" w:firstLine="413"/>
        <w:spacing w:after="0" w:line="532" w:lineRule="auto"/>
        <w:tabs>
          <w:tab w:leader="none" w:pos="72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October 26, 2026</w:t>
      </w:r>
    </w:p>
    <w:p>
      <w:pPr>
        <w:spacing w:after="0"/>
        <w:rPr>
          <w:sz w:val="20"/>
          <w:szCs w:val="20"/>
          <w:color w:val="auto"/>
        </w:rPr>
      </w:pPr>
      <w:r>
        <w:rPr>
          <w:rFonts w:ascii="Times New Roman" w:cs="Times New Roman" w:eastAsia="Times New Roman" w:hAnsi="Times New Roman"/>
          <w:sz w:val="18"/>
          <w:szCs w:val="18"/>
          <w:u w:val="single" w:color="auto"/>
          <w:color w:val="auto"/>
        </w:rPr>
        <w:t>/s/ Rick L. Wessel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Rick L. Wessel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52" w:lineRule="exact"/>
        <w:rPr>
          <w:sz w:val="20"/>
          <w:szCs w:val="20"/>
          <w:color w:val="auto"/>
        </w:rPr>
      </w:pPr>
    </w:p>
    <w:p>
      <w:pPr>
        <w:jc w:val="center"/>
        <w:ind w:left="340" w:right="2700"/>
        <w:spacing w:after="0" w:line="259" w:lineRule="auto"/>
        <w:rPr>
          <w:sz w:val="20"/>
          <w:szCs w:val="20"/>
          <w:color w:val="auto"/>
        </w:rPr>
      </w:pPr>
      <w:r>
        <w:rPr>
          <w:rFonts w:ascii="Times New Roman" w:cs="Times New Roman" w:eastAsia="Times New Roman" w:hAnsi="Times New Roman"/>
          <w:sz w:val="22"/>
          <w:szCs w:val="22"/>
          <w:b w:val="1"/>
          <w:bCs w:val="1"/>
          <w:color w:val="auto"/>
        </w:rPr>
        <w:t>CERTIFICATION PURSUANT TO 18 U.S.C. SECTION 1350, AS ADOPTED PURSUANT TO 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FirstCash Holdings, Inc. (the “Company”) on Form 10-Q for the quarterly period ended September 30, 2026, as filed with the Securities and Exchange Commission on the date hereof (the “Report”), I, R. Douglas Orr, Chief Financial Officer of the Company, certify, pursuant to 18 U.S.C. Section 1350, as adopted pursuant to Section 906 of the Sarbanes-Oxley Act of 2002, that to my knowledge:</w:t>
      </w:r>
    </w:p>
    <w:p>
      <w:pPr>
        <w:spacing w:after="0" w:line="203" w:lineRule="exact"/>
        <w:rPr>
          <w:sz w:val="20"/>
          <w:szCs w:val="20"/>
          <w:color w:val="auto"/>
        </w:rPr>
      </w:pPr>
    </w:p>
    <w:p>
      <w:pPr>
        <w:ind w:left="740" w:hanging="327"/>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right="60" w:firstLine="413"/>
        <w:spacing w:after="0" w:line="532" w:lineRule="auto"/>
        <w:tabs>
          <w:tab w:leader="none" w:pos="72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October 26, 2026</w:t>
      </w:r>
    </w:p>
    <w:p>
      <w:pPr>
        <w:spacing w:after="0"/>
        <w:rPr>
          <w:sz w:val="20"/>
          <w:szCs w:val="20"/>
          <w:color w:val="auto"/>
        </w:rPr>
      </w:pPr>
      <w:r>
        <w:rPr>
          <w:rFonts w:ascii="Times New Roman" w:cs="Times New Roman" w:eastAsia="Times New Roman" w:hAnsi="Times New Roman"/>
          <w:sz w:val="18"/>
          <w:szCs w:val="18"/>
          <w:u w:val="single" w:color="auto"/>
          <w:color w:val="auto"/>
        </w:rPr>
        <w:t>/s/ R. Douglas Orr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 Douglas Orr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3"/>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2" Type="http://schemas.openxmlformats.org/officeDocument/2006/relationships/image" Target="media/image62.png"/><Relationship Id="rId69" Type="http://schemas.openxmlformats.org/officeDocument/2006/relationships/hyperlink" Target="https://www.sec.gov/Archives/edgar/data/840489/000110465926075855/tm2618096d1_ex3-1.htm" TargetMode="External"/><Relationship Id="rId70" Type="http://schemas.openxmlformats.org/officeDocument/2006/relationships/hyperlink" Target="https://www.sec.gov/Archives/edgar/data/840489/000110465926075855/tm2618096d1_ex3-2.htm" TargetMode="External"/><Relationship Id="rId71" Type="http://schemas.openxmlformats.org/officeDocument/2006/relationships/hyperlink" Target="https://www.sec.gov/Archives/edgar/data/840489/000110465926103556/tm2624268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2026-10-26T14:42:50Z</dcterms:created>
  <dcterms:modified xsi:type="dcterms:W3CDTF">2026-10-26T14:42:50Z</dcterms:modified>
</cp:coreProperties>
</file>